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left" w:pos="5400" w:leader="none"/>
        </w:tabs>
        <w:jc w:val="right"/>
        <w:textAlignment w:val="center"/>
        <w:rPr/>
      </w:pPr>
      <w:r>
        <w:rPr/>
        <w:t>Priedas Nr. 1</w:t>
      </w:r>
    </w:p>
    <w:p>
      <w:pPr>
        <w:pStyle w:val="Normal"/>
        <w:tabs>
          <w:tab w:val="clear" w:pos="1296"/>
          <w:tab w:val="left" w:pos="5400" w:leader="none"/>
        </w:tabs>
        <w:textAlignment w:val="center"/>
        <w:rPr/>
      </w:pPr>
      <w:r>
        <w:rPr/>
      </w:r>
    </w:p>
    <w:p>
      <w:pPr>
        <w:pStyle w:val="Standard"/>
        <w:numPr>
          <w:ilvl w:val="0"/>
          <w:numId w:val="0"/>
        </w:numPr>
        <w:ind w:hanging="426" w:left="426"/>
        <w:jc w:val="right"/>
        <w:outlineLvl w:val="0"/>
        <w:rPr/>
      </w:pPr>
      <w:r>
        <w:rPr>
          <w:rFonts w:eastAsia="Times New Roman" w:cs="Calibri" w:ascii="Calibri" w:hAnsi="Calibri"/>
          <w:kern w:val="0"/>
          <w:sz w:val="21"/>
          <w:szCs w:val="21"/>
          <w:lang w:eastAsia="lt-LT"/>
        </w:rPr>
        <w:t> </w:t>
      </w:r>
    </w:p>
    <w:p>
      <w:pPr>
        <w:pStyle w:val="Normal"/>
        <w:suppressAutoHyphens w:val="false"/>
        <w:jc w:val="center"/>
        <w:rPr>
          <w:color w:val="000000"/>
          <w:sz w:val="20"/>
          <w:lang w:eastAsia="lt-LT"/>
        </w:rPr>
      </w:pPr>
      <w:r>
        <w:rPr>
          <w:rFonts w:eastAsia="F1"/>
          <w:b/>
          <w:bCs/>
          <w:smallCaps/>
          <w:szCs w:val="24"/>
          <w:lang w:eastAsia="lt-LT"/>
        </w:rPr>
        <w:t>SPECIALIZUOTOS TRUMPALAIKĖS TERAPIJOS ASSIP MOKYMAI PSICHIKOS SVEIKATOS PRIEŽIŪROS SPECIALISTAMS</w:t>
      </w:r>
      <w:r>
        <w:rPr>
          <w:szCs w:val="24"/>
          <w:lang w:eastAsia="lt-LT"/>
        </w:rPr>
        <w:t> </w:t>
      </w:r>
      <w:r>
        <w:rPr>
          <w:color w:val="000000"/>
          <w:szCs w:val="24"/>
          <w:lang w:eastAsia="lt-LT"/>
        </w:rPr>
        <w:t>(MOKYMAI, SUPERVIZIJOS, KONSULTAVIMAS)</w:t>
      </w:r>
    </w:p>
    <w:p>
      <w:pPr>
        <w:pStyle w:val="Standard"/>
        <w:numPr>
          <w:ilvl w:val="0"/>
          <w:numId w:val="0"/>
        </w:numPr>
        <w:ind w:hanging="426" w:left="426"/>
        <w:jc w:val="center"/>
        <w:outlineLvl w:val="0"/>
        <w:rPr/>
      </w:pPr>
      <w:r>
        <w:rPr/>
      </w:r>
    </w:p>
    <w:p>
      <w:pPr>
        <w:pStyle w:val="Standard"/>
        <w:numPr>
          <w:ilvl w:val="0"/>
          <w:numId w:val="0"/>
        </w:numPr>
        <w:ind w:hanging="426" w:left="426"/>
        <w:jc w:val="center"/>
        <w:outlineLvl w:val="0"/>
        <w:rPr/>
      </w:pPr>
      <w:r>
        <w:rPr>
          <w:rFonts w:eastAsia="F1" w:cs="Times New Roman"/>
          <w:b/>
          <w:bCs/>
          <w:kern w:val="0"/>
          <w:szCs w:val="24"/>
          <w:lang w:eastAsia="lt-LT"/>
        </w:rPr>
        <w:t>TECHNINĖ SPECIFIKACIJA</w:t>
      </w:r>
      <w:r>
        <w:rPr>
          <w:rFonts w:eastAsia="Times New Roman" w:cs="Times New Roman"/>
          <w:kern w:val="0"/>
          <w:szCs w:val="24"/>
          <w:lang w:eastAsia="lt-LT"/>
        </w:rPr>
        <w:t> </w:t>
      </w:r>
    </w:p>
    <w:p>
      <w:pPr>
        <w:pStyle w:val="Standard"/>
        <w:numPr>
          <w:ilvl w:val="0"/>
          <w:numId w:val="0"/>
        </w:numPr>
        <w:ind w:hanging="426" w:left="426"/>
        <w:jc w:val="center"/>
        <w:outlineLvl w:val="0"/>
        <w:rPr>
          <w:rFonts w:ascii="Segoe UI" w:hAnsi="Segoe UI" w:eastAsia="Times New Roman" w:cs="Segoe UI"/>
          <w:kern w:val="0"/>
          <w:sz w:val="18"/>
          <w:szCs w:val="18"/>
          <w:lang w:eastAsia="lt-LT"/>
        </w:rPr>
      </w:pPr>
      <w:r>
        <w:rPr>
          <w:rFonts w:eastAsia="Times New Roman" w:cs="Segoe UI" w:ascii="Segoe UI" w:hAnsi="Segoe UI"/>
          <w:kern w:val="0"/>
          <w:sz w:val="18"/>
          <w:szCs w:val="18"/>
          <w:lang w:eastAsia="lt-LT"/>
        </w:rPr>
      </w:r>
    </w:p>
    <w:p>
      <w:pPr>
        <w:pStyle w:val="Standard"/>
        <w:numPr>
          <w:ilvl w:val="0"/>
          <w:numId w:val="0"/>
        </w:numPr>
        <w:ind w:hanging="426" w:left="426"/>
        <w:jc w:val="center"/>
        <w:outlineLvl w:val="0"/>
        <w:rPr/>
      </w:pPr>
      <w:r>
        <w:rPr>
          <w:rFonts w:eastAsia="Times New Roman" w:cs="Times New Roman"/>
          <w:b/>
          <w:kern w:val="0"/>
          <w:sz w:val="28"/>
          <w:szCs w:val="28"/>
          <w:lang w:eastAsia="lt-LT"/>
        </w:rPr>
        <w:t>I DALIS</w:t>
      </w:r>
    </w:p>
    <w:p>
      <w:pPr>
        <w:pStyle w:val="Standard"/>
        <w:numPr>
          <w:ilvl w:val="0"/>
          <w:numId w:val="0"/>
        </w:numPr>
        <w:ind w:hanging="426" w:left="426"/>
        <w:jc w:val="center"/>
        <w:outlineLvl w:val="0"/>
        <w:rPr>
          <w:rFonts w:ascii="Segoe UI" w:hAnsi="Segoe UI" w:eastAsia="Times New Roman" w:cs="Segoe UI"/>
          <w:b/>
          <w:kern w:val="0"/>
          <w:sz w:val="28"/>
          <w:szCs w:val="28"/>
          <w:lang w:eastAsia="lt-LT"/>
        </w:rPr>
      </w:pPr>
      <w:r>
        <w:rPr>
          <w:rFonts w:eastAsia="Times New Roman" w:cs="Segoe UI" w:ascii="Segoe UI" w:hAnsi="Segoe UI"/>
          <w:b/>
          <w:kern w:val="0"/>
          <w:sz w:val="28"/>
          <w:szCs w:val="28"/>
          <w:lang w:eastAsia="lt-LT"/>
        </w:rPr>
      </w:r>
    </w:p>
    <w:p>
      <w:pPr>
        <w:pStyle w:val="Standard"/>
        <w:numPr>
          <w:ilvl w:val="0"/>
          <w:numId w:val="0"/>
        </w:numPr>
        <w:ind w:hanging="426" w:left="426"/>
        <w:jc w:val="center"/>
        <w:outlineLvl w:val="0"/>
        <w:rPr/>
      </w:pPr>
      <w:r>
        <w:rPr>
          <w:rFonts w:eastAsia="F1" w:cs="Times New Roman"/>
          <w:b/>
          <w:bCs/>
          <w:kern w:val="0"/>
          <w:szCs w:val="24"/>
          <w:lang w:eastAsia="lt-LT"/>
        </w:rPr>
        <w:t>I SKYRIUS</w:t>
      </w:r>
      <w:r>
        <w:rPr>
          <w:rFonts w:eastAsia="Times New Roman" w:cs="Times New Roman"/>
          <w:kern w:val="0"/>
          <w:szCs w:val="24"/>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BENDROSIOS NUOSTATOS</w:t>
      </w:r>
      <w:r>
        <w:rPr>
          <w:rFonts w:eastAsia="Times New Roman" w:cs="Times New Roman"/>
          <w:kern w:val="0"/>
          <w:szCs w:val="24"/>
          <w:lang w:eastAsia="lt-LT"/>
        </w:rPr>
        <w:t> </w:t>
      </w:r>
    </w:p>
    <w:p>
      <w:pPr>
        <w:pStyle w:val="Standard"/>
        <w:numPr>
          <w:ilvl w:val="0"/>
          <w:numId w:val="0"/>
        </w:numPr>
        <w:ind w:hanging="426" w:left="426"/>
        <w:jc w:val="center"/>
        <w:outlineLvl w:val="0"/>
        <w:rPr>
          <w:rFonts w:eastAsia="Times New Roman" w:cs="Times New Roman"/>
          <w:kern w:val="0"/>
          <w:szCs w:val="24"/>
          <w:lang w:eastAsia="lt-LT"/>
        </w:rPr>
      </w:pPr>
      <w:r>
        <w:rPr>
          <w:rFonts w:eastAsia="Times New Roman" w:cs="Times New Roman"/>
          <w:kern w:val="0"/>
          <w:szCs w:val="24"/>
          <w:lang w:eastAsia="lt-LT"/>
        </w:rPr>
      </w:r>
    </w:p>
    <w:p>
      <w:pPr>
        <w:pStyle w:val="Standard"/>
        <w:numPr>
          <w:ilvl w:val="0"/>
          <w:numId w:val="0"/>
        </w:numPr>
        <w:ind w:hanging="426" w:left="426"/>
        <w:jc w:val="center"/>
        <w:outlineLvl w:val="0"/>
        <w:rPr>
          <w:rFonts w:eastAsia="Times New Roman" w:cs="Times New Roman"/>
          <w:kern w:val="0"/>
          <w:szCs w:val="24"/>
          <w:lang w:eastAsia="lt-LT"/>
        </w:rPr>
      </w:pPr>
      <w:r>
        <w:rPr>
          <w:rFonts w:eastAsia="Times New Roman" w:cs="Times New Roman"/>
          <w:kern w:val="0"/>
          <w:szCs w:val="24"/>
          <w:lang w:eastAsia="lt-LT"/>
        </w:rPr>
      </w:r>
    </w:p>
    <w:p>
      <w:pPr>
        <w:pStyle w:val="Standard"/>
        <w:numPr>
          <w:ilvl w:val="0"/>
          <w:numId w:val="7"/>
        </w:numPr>
        <w:spacing w:lineRule="auto" w:line="276" w:before="0" w:after="160"/>
        <w:ind w:hanging="284" w:left="284"/>
        <w:jc w:val="both"/>
        <w:outlineLvl w:val="0"/>
        <w:rPr/>
      </w:pPr>
      <w:r>
        <w:rPr>
          <w:rFonts w:eastAsia="F1" w:cs="Times New Roman"/>
          <w:kern w:val="0"/>
          <w:szCs w:val="24"/>
          <w:lang w:eastAsia="lt-LT"/>
        </w:rPr>
        <w:t>Perkančioji organizacija – Higienos institutas (Studentų g. 45A, 08107 Vilnius, įstaigos kodas 111958286) (toliau – Perkančioji organizacija).</w:t>
      </w:r>
      <w:r>
        <w:rPr>
          <w:rFonts w:eastAsia="Times New Roman" w:cs="Times New Roman"/>
          <w:kern w:val="0"/>
          <w:szCs w:val="24"/>
          <w:lang w:eastAsia="lt-LT"/>
        </w:rPr>
        <w:t> </w:t>
      </w:r>
    </w:p>
    <w:p>
      <w:pPr>
        <w:pStyle w:val="Standard"/>
        <w:numPr>
          <w:ilvl w:val="0"/>
          <w:numId w:val="8"/>
        </w:numPr>
        <w:spacing w:lineRule="auto" w:line="276" w:before="0" w:after="160"/>
        <w:ind w:hanging="284" w:left="284"/>
        <w:jc w:val="both"/>
        <w:outlineLvl w:val="0"/>
        <w:rPr/>
      </w:pPr>
      <w:r>
        <w:rPr>
          <w:rFonts w:eastAsia="F1" w:cs="Times New Roman"/>
          <w:kern w:val="0"/>
          <w:szCs w:val="24"/>
          <w:lang w:eastAsia="lt-LT"/>
        </w:rPr>
        <w:t>Pirkimas skirtas įgyvendinti Lietuvos Respublikos sveikatos apsaugos ministrės 2026 m. sausio 29 d. įsakymu Nr. V-105 „Dėl Psichikos sveikatos stiprinimo, psichosocialinės pagalbos ir savižudybių prevencijos intervencijų plėtojimo 2026-2028 metų veiksmų plano patvirtinimo“ patvirtinto veiksmų plano 1.1. papunktį „Specializuotos trumpalaikės terapijos ASSIP (angl. Attempted suicide short intervention program) mokymai psichikos sveikatos priežiūros specialistams“.</w:t>
      </w:r>
      <w:r>
        <w:rPr>
          <w:rFonts w:eastAsia="Times New Roman" w:cs="Times New Roman"/>
          <w:kern w:val="0"/>
          <w:szCs w:val="24"/>
          <w:lang w:eastAsia="lt-LT"/>
        </w:rPr>
        <w:t> </w:t>
      </w:r>
    </w:p>
    <w:p>
      <w:pPr>
        <w:pStyle w:val="Standard"/>
        <w:numPr>
          <w:ilvl w:val="0"/>
          <w:numId w:val="9"/>
        </w:numPr>
        <w:spacing w:lineRule="auto" w:line="276" w:before="0" w:after="160"/>
        <w:ind w:hanging="284" w:left="284"/>
        <w:jc w:val="both"/>
        <w:outlineLvl w:val="0"/>
        <w:rPr/>
      </w:pPr>
      <w:r>
        <w:rPr>
          <w:rFonts w:eastAsia="F1" w:cs="Times New Roman"/>
          <w:kern w:val="0"/>
          <w:lang w:eastAsia="lt-LT"/>
        </w:rPr>
        <w:t>Mokymų tikslinė grupė – medicinos psichologai, 2025 m. baigę 16 val. kontaktinius ASSIP mokymus</w:t>
      </w:r>
      <w:r>
        <w:rPr>
          <w:rFonts w:eastAsia="Times New Roman" w:cs="Times New Roman"/>
          <w:kern w:val="0"/>
          <w:lang w:eastAsia="lt-LT"/>
        </w:rPr>
        <w:t xml:space="preserve"> ir </w:t>
      </w:r>
      <w:r>
        <w:rPr>
          <w:rFonts w:eastAsia="F1" w:cs="Times New Roman"/>
          <w:kern w:val="0"/>
          <w:lang w:eastAsia="lt-LT"/>
        </w:rPr>
        <w:t>dirbantys asmens sveikatos priežiūros įstaigose (toliau – ASPĮ) teikiančiose psichiatrijos stacionarines ir dienos stacionaro paslaugas (toliau – Tikslinė grupė).</w:t>
      </w:r>
      <w:r>
        <w:rPr>
          <w:rFonts w:eastAsia="Times New Roman" w:cs="Times New Roman"/>
          <w:kern w:val="0"/>
          <w:lang w:eastAsia="lt-LT"/>
        </w:rPr>
        <w:t> </w:t>
      </w:r>
    </w:p>
    <w:p>
      <w:pPr>
        <w:pStyle w:val="Standard"/>
        <w:numPr>
          <w:ilvl w:val="0"/>
          <w:numId w:val="0"/>
        </w:numPr>
        <w:ind w:hanging="426" w:left="426"/>
        <w:jc w:val="both"/>
        <w:outlineLvl w:val="0"/>
        <w:rPr/>
      </w:pPr>
      <w:r>
        <w:rPr>
          <w:rFonts w:eastAsia="Times New Roman" w:cs="Times New Roman"/>
          <w:kern w:val="0"/>
          <w:szCs w:val="24"/>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II SKYRIUS</w:t>
      </w:r>
      <w:r>
        <w:rPr>
          <w:rFonts w:eastAsia="Times New Roman" w:cs="Times New Roman"/>
          <w:kern w:val="0"/>
          <w:szCs w:val="24"/>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PIRKIMO OBJEKTAS</w:t>
      </w:r>
      <w:r>
        <w:rPr>
          <w:rFonts w:eastAsia="Times New Roman" w:cs="Times New Roman"/>
          <w:kern w:val="0"/>
          <w:szCs w:val="24"/>
          <w:lang w:eastAsia="lt-LT"/>
        </w:rPr>
        <w:t> </w:t>
      </w:r>
    </w:p>
    <w:p>
      <w:pPr>
        <w:pStyle w:val="Standard"/>
        <w:numPr>
          <w:ilvl w:val="0"/>
          <w:numId w:val="0"/>
        </w:numPr>
        <w:ind w:hanging="426" w:left="426"/>
        <w:jc w:val="both"/>
        <w:outlineLvl w:val="0"/>
        <w:rPr/>
      </w:pPr>
      <w:r>
        <w:rPr>
          <w:rFonts w:eastAsia="Times New Roman" w:cs="Times New Roman"/>
          <w:kern w:val="0"/>
          <w:szCs w:val="24"/>
          <w:lang w:eastAsia="lt-LT"/>
        </w:rPr>
        <w:t> </w:t>
      </w:r>
    </w:p>
    <w:p>
      <w:pPr>
        <w:pStyle w:val="Standard"/>
        <w:numPr>
          <w:ilvl w:val="0"/>
          <w:numId w:val="10"/>
        </w:numPr>
        <w:spacing w:lineRule="auto" w:line="276" w:before="0" w:after="160"/>
        <w:ind w:hanging="284" w:left="284"/>
        <w:jc w:val="both"/>
        <w:outlineLvl w:val="0"/>
        <w:rPr/>
      </w:pPr>
      <w:r>
        <w:rPr>
          <w:rFonts w:eastAsia="F1" w:cs="Times New Roman"/>
          <w:kern w:val="0"/>
          <w:lang w:eastAsia="lt-LT"/>
        </w:rPr>
        <w:t xml:space="preserve">Pirkimo objektas – Specializuotos trumpalaikės terapijos ASSIP praktiniai mokymai psichikos sveikatos priežiūros specialistams, </w:t>
      </w:r>
      <w:r>
        <w:rPr>
          <w:rFonts w:eastAsia="F1" w:cs="Times New Roman"/>
          <w:kern w:val="0"/>
          <w:u w:val="single"/>
          <w:lang w:eastAsia="lt-LT"/>
        </w:rPr>
        <w:t>2025 m. baigusiems 16 val. mokymus (teorinę dalį),</w:t>
      </w:r>
      <w:r>
        <w:rPr>
          <w:rFonts w:eastAsia="F1" w:cs="Times New Roman"/>
          <w:kern w:val="0"/>
          <w:lang w:eastAsia="lt-LT"/>
        </w:rPr>
        <w:t xml:space="preserve"> kuriuos vedė akredituoti ASSIP mokymų lektoriai apima praktinių mokymų, taikant supervizijų metodą (</w:t>
      </w:r>
      <w:r>
        <w:rPr>
          <w:rFonts w:eastAsia="F1" w:cs="Times New Roman"/>
          <w:b/>
          <w:bCs/>
          <w:kern w:val="0"/>
          <w:lang w:eastAsia="lt-LT"/>
        </w:rPr>
        <w:t>toliau – Supervizija</w:t>
      </w:r>
      <w:r>
        <w:rPr>
          <w:rFonts w:eastAsia="F1" w:cs="Times New Roman"/>
          <w:kern w:val="0"/>
          <w:lang w:eastAsia="lt-LT"/>
        </w:rPr>
        <w:t xml:space="preserve">) vykdymą, </w:t>
      </w:r>
      <w:r>
        <w:rPr>
          <w:rFonts w:eastAsia="Times New Roman" w:cs="Times New Roman"/>
          <w:kern w:val="0"/>
          <w:shd w:fill="FFFFFF" w:val="clear"/>
          <w:lang w:eastAsia="lt-LT"/>
        </w:rPr>
        <w:t>4 val. mokymų (baigiamojo susitikimo)</w:t>
      </w:r>
      <w:r>
        <w:rPr>
          <w:rFonts w:eastAsia="F1" w:cs="Times New Roman"/>
          <w:kern w:val="0"/>
          <w:lang w:eastAsia="lt-LT"/>
        </w:rPr>
        <w:t xml:space="preserve"> organizavimą, mokymų kokybės įvertinimą</w:t>
      </w:r>
      <w:ins w:id="0" w:author="Lalita Hacker" w:date="2026-04-20T12:18:00Z">
        <w:r>
          <w:rPr>
            <w:rFonts w:eastAsia="F1" w:cs="Times New Roman"/>
            <w:kern w:val="0"/>
            <w:lang w:eastAsia="lt-LT"/>
          </w:rPr>
          <w:t xml:space="preserve"> </w:t>
        </w:r>
      </w:ins>
      <w:r>
        <w:rPr>
          <w:rFonts w:eastAsia="F1" w:cs="Times New Roman"/>
          <w:kern w:val="0"/>
          <w:lang w:eastAsia="lt-LT"/>
        </w:rPr>
        <w:t xml:space="preserve"> (7.8. p.) ir ataskaitų apie įvykdytus mokymus rengimą bei teikimą Perkančiajai organizacijai .</w:t>
      </w:r>
      <w:r>
        <w:rPr>
          <w:rFonts w:eastAsia="Times New Roman" w:cs="Times New Roman"/>
          <w:kern w:val="0"/>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III SKYRIUS</w:t>
      </w:r>
      <w:r>
        <w:rPr>
          <w:rFonts w:eastAsia="Times New Roman" w:cs="Times New Roman"/>
          <w:kern w:val="0"/>
          <w:szCs w:val="24"/>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REIKALAVIMAI MOKYMAMS</w:t>
      </w:r>
      <w:r>
        <w:rPr>
          <w:rFonts w:eastAsia="Times New Roman" w:cs="Times New Roman"/>
          <w:kern w:val="0"/>
          <w:szCs w:val="24"/>
          <w:lang w:eastAsia="lt-LT"/>
        </w:rPr>
        <w:t> </w:t>
      </w:r>
    </w:p>
    <w:p>
      <w:pPr>
        <w:pStyle w:val="Standard"/>
        <w:numPr>
          <w:ilvl w:val="0"/>
          <w:numId w:val="0"/>
        </w:numPr>
        <w:ind w:hanging="426" w:left="426"/>
        <w:jc w:val="both"/>
        <w:outlineLvl w:val="0"/>
        <w:rPr/>
      </w:pPr>
      <w:r>
        <w:rPr>
          <w:rFonts w:eastAsia="Times New Roman" w:cs="Times New Roman"/>
          <w:kern w:val="0"/>
          <w:szCs w:val="24"/>
          <w:lang w:eastAsia="lt-LT"/>
        </w:rPr>
        <w:t> </w:t>
      </w:r>
    </w:p>
    <w:p>
      <w:pPr>
        <w:pStyle w:val="Standard"/>
        <w:numPr>
          <w:ilvl w:val="0"/>
          <w:numId w:val="11"/>
        </w:numPr>
        <w:tabs>
          <w:tab w:val="clear" w:pos="1296"/>
          <w:tab w:val="left" w:pos="1419" w:leader="none"/>
        </w:tabs>
        <w:spacing w:lineRule="auto" w:line="276" w:before="0" w:after="160"/>
        <w:jc w:val="both"/>
        <w:outlineLvl w:val="0"/>
        <w:rPr/>
      </w:pPr>
      <w:r>
        <w:rPr>
          <w:rFonts w:eastAsia="F1" w:cs="Times New Roman"/>
          <w:kern w:val="0"/>
          <w:lang w:eastAsia="lt-LT"/>
        </w:rPr>
        <w:t xml:space="preserve">ASSIP programos (supervizijų, 4 val. mokymų </w:t>
      </w:r>
      <w:r>
        <w:rPr>
          <w:rFonts w:eastAsia="F1" w:cs="Times New Roman"/>
          <w:kern w:val="0"/>
          <w:shd w:fill="FFFFFF" w:val="clear"/>
          <w:lang w:eastAsia="lt-LT"/>
        </w:rPr>
        <w:t>(baigiamojo susitikimo</w:t>
      </w:r>
      <w:r>
        <w:rPr>
          <w:rFonts w:eastAsia="F1" w:cs="Times New Roman"/>
          <w:kern w:val="0"/>
          <w:lang w:eastAsia="lt-LT"/>
        </w:rPr>
        <w:t xml:space="preserve">) </w:t>
      </w:r>
      <w:r>
        <w:rPr>
          <w:rFonts w:eastAsia="F1" w:cs="Times New Roman"/>
          <w:b/>
          <w:bCs/>
          <w:kern w:val="0"/>
          <w:lang w:eastAsia="lt-LT"/>
        </w:rPr>
        <w:t>paslaugos turi būti suteiktos per 5 mėnesius nuo sutarties pasirašymo dienos</w:t>
      </w:r>
      <w:r>
        <w:rPr>
          <w:rFonts w:eastAsia="Times New Roman" w:cs="Times New Roman"/>
          <w:b/>
          <w:bCs/>
          <w:kern w:val="0"/>
          <w:lang w:eastAsia="lt-LT"/>
        </w:rPr>
        <w:t>.</w:t>
      </w:r>
    </w:p>
    <w:p>
      <w:pPr>
        <w:pStyle w:val="Standard"/>
        <w:numPr>
          <w:ilvl w:val="0"/>
          <w:numId w:val="5"/>
        </w:numPr>
        <w:spacing w:lineRule="auto" w:line="276" w:before="0" w:after="160"/>
        <w:jc w:val="both"/>
        <w:outlineLvl w:val="0"/>
        <w:rPr/>
      </w:pPr>
      <w:r>
        <w:rPr>
          <w:rFonts w:eastAsia="F1" w:cs="Times New Roman"/>
          <w:kern w:val="0"/>
          <w:szCs w:val="24"/>
          <w:lang w:eastAsia="lt-LT"/>
        </w:rPr>
        <w:t>Bendrieji reikalavimai Supervizijoms  ir 4 val. mokymų (baigiamojo susitikimo)) organizavimo paslaugoms apima:</w:t>
      </w:r>
      <w:r>
        <w:rPr>
          <w:rFonts w:eastAsia="Times New Roman" w:cs="Times New Roman"/>
          <w:kern w:val="0"/>
          <w:szCs w:val="24"/>
          <w:lang w:eastAsia="lt-LT"/>
        </w:rPr>
        <w:t> </w:t>
      </w:r>
    </w:p>
    <w:p>
      <w:pPr>
        <w:pStyle w:val="Standard"/>
        <w:numPr>
          <w:ilvl w:val="1"/>
          <w:numId w:val="12"/>
        </w:numPr>
        <w:tabs>
          <w:tab w:val="clear" w:pos="1296"/>
          <w:tab w:val="left" w:pos="567" w:leader="none"/>
        </w:tabs>
        <w:spacing w:lineRule="auto" w:line="276" w:before="0" w:after="160"/>
        <w:ind w:hanging="567" w:left="567"/>
        <w:jc w:val="both"/>
        <w:outlineLvl w:val="0"/>
        <w:rPr/>
      </w:pPr>
      <w:r>
        <w:rPr>
          <w:rFonts w:eastAsia="F1" w:cs="Times New Roman"/>
          <w:kern w:val="0"/>
          <w:szCs w:val="24"/>
          <w:lang w:eastAsia="lt-LT"/>
        </w:rPr>
        <w:t xml:space="preserve"> </w:t>
      </w:r>
      <w:r>
        <w:rPr>
          <w:rFonts w:eastAsia="F1" w:cs="Times New Roman"/>
          <w:kern w:val="0"/>
          <w:szCs w:val="24"/>
          <w:lang w:eastAsia="lt-LT"/>
        </w:rPr>
        <w:t xml:space="preserve">nuotoliniu būdu vykstančių Supervizijų organizavimą. Supervizijose gali dalyvauti ne daugiau nei 10 (dešimt) psichologų, baigusių 16 val. kontaktinius ASSIP mokymus. Iš viso numatoma </w:t>
      </w:r>
      <w:r>
        <w:rPr>
          <w:rFonts w:eastAsia="F1" w:cs="Times New Roman"/>
          <w:b/>
          <w:bCs/>
          <w:kern w:val="0"/>
          <w:szCs w:val="24"/>
          <w:lang w:eastAsia="lt-LT"/>
        </w:rPr>
        <w:t>24 Supervizijos</w:t>
      </w:r>
      <w:r>
        <w:rPr>
          <w:rFonts w:eastAsia="F1" w:cs="Times New Roman"/>
          <w:b/>
          <w:bCs/>
          <w:kern w:val="0"/>
          <w:sz w:val="16"/>
          <w:szCs w:val="16"/>
          <w:lang w:eastAsia="lt-LT"/>
        </w:rPr>
        <w:t xml:space="preserve"> </w:t>
      </w:r>
      <w:r>
        <w:rPr>
          <w:rFonts w:eastAsia="F1" w:cs="Times New Roman"/>
          <w:b/>
          <w:bCs/>
          <w:kern w:val="0"/>
          <w:szCs w:val="24"/>
          <w:lang w:eastAsia="lt-LT"/>
        </w:rPr>
        <w:t>po 2 val</w:t>
      </w:r>
      <w:r>
        <w:rPr>
          <w:rFonts w:eastAsia="F1" w:cs="Times New Roman"/>
          <w:kern w:val="0"/>
          <w:szCs w:val="24"/>
          <w:lang w:eastAsia="lt-LT"/>
        </w:rPr>
        <w:t>. Supervizoriai</w:t>
      </w:r>
      <w:r>
        <w:rPr>
          <w:rFonts w:eastAsia="Times New Roman" w:cs="Times New Roman"/>
          <w:kern w:val="0"/>
          <w:szCs w:val="24"/>
          <w:lang w:eastAsia="lt-LT"/>
        </w:rPr>
        <w:t>,</w:t>
      </w:r>
      <w:r>
        <w:rPr>
          <w:rFonts w:eastAsia="F1" w:cs="Times New Roman"/>
          <w:kern w:val="0"/>
          <w:szCs w:val="24"/>
          <w:lang w:eastAsia="lt-LT"/>
        </w:rPr>
        <w:t xml:space="preserve"> nuotoliniu būdu vykdydami Supervizijas užtikrina, kad visi dalyviai turėtų galimybę dalyvauti Supervizijose, kurios yra reikalingos jiems įgyti ASSIP mokymų baigimo pažymėjimą. Perkančioji organizacija neįsipareigoja nupirkti viso 24 Supervizijų po 2 val. kiekio. </w:t>
      </w:r>
      <w:r>
        <w:rPr>
          <w:rFonts w:eastAsia="F1" w:cs="Times New Roman"/>
          <w:b/>
          <w:bCs/>
          <w:kern w:val="0"/>
          <w:szCs w:val="24"/>
          <w:lang w:eastAsia="lt-LT"/>
        </w:rPr>
        <w:t>Atsiskaitoma už faktiškai suorganizuotas Supervizijas</w:t>
      </w:r>
      <w:r>
        <w:rPr>
          <w:rFonts w:eastAsia="F1" w:cs="Times New Roman"/>
          <w:kern w:val="0"/>
          <w:szCs w:val="24"/>
          <w:lang w:eastAsia="lt-LT"/>
        </w:rPr>
        <w:t>;</w:t>
      </w:r>
    </w:p>
    <w:p>
      <w:pPr>
        <w:pStyle w:val="Standard"/>
        <w:numPr>
          <w:ilvl w:val="1"/>
          <w:numId w:val="13"/>
        </w:numPr>
        <w:spacing w:lineRule="auto" w:line="276" w:before="0" w:after="160"/>
        <w:ind w:hanging="567" w:left="567"/>
        <w:jc w:val="both"/>
        <w:outlineLvl w:val="0"/>
        <w:rPr/>
      </w:pPr>
      <w:r>
        <w:rPr>
          <w:rFonts w:eastAsia="F1" w:cs="Times New Roman"/>
          <w:kern w:val="0"/>
          <w:szCs w:val="24"/>
          <w:lang w:eastAsia="lt-LT"/>
        </w:rPr>
        <w:t xml:space="preserve"> </w:t>
      </w:r>
      <w:r>
        <w:rPr>
          <w:rFonts w:eastAsia="F1" w:cs="Times New Roman"/>
          <w:kern w:val="0"/>
          <w:szCs w:val="24"/>
          <w:lang w:eastAsia="lt-LT"/>
        </w:rPr>
        <w:t>tikslinės grupės motyvavimą;</w:t>
      </w:r>
      <w:r>
        <w:rPr>
          <w:rFonts w:eastAsia="Times New Roman" w:cs="Times New Roman"/>
          <w:kern w:val="0"/>
          <w:szCs w:val="24"/>
          <w:lang w:eastAsia="lt-LT"/>
        </w:rPr>
        <w:t> </w:t>
      </w:r>
    </w:p>
    <w:p>
      <w:pPr>
        <w:pStyle w:val="Standard"/>
        <w:numPr>
          <w:ilvl w:val="1"/>
          <w:numId w:val="14"/>
        </w:numPr>
        <w:spacing w:lineRule="auto" w:line="276" w:before="0" w:after="160"/>
        <w:ind w:hanging="567" w:left="567"/>
        <w:jc w:val="both"/>
        <w:outlineLvl w:val="0"/>
        <w:rPr/>
      </w:pPr>
      <w:r>
        <w:rPr>
          <w:rFonts w:eastAsia="F1" w:cs="Times New Roman"/>
          <w:kern w:val="0"/>
          <w:lang w:eastAsia="lt-LT"/>
        </w:rPr>
        <w:t xml:space="preserve"> </w:t>
      </w:r>
      <w:r>
        <w:rPr>
          <w:rFonts w:eastAsia="F1" w:cs="Times New Roman"/>
          <w:kern w:val="0"/>
          <w:lang w:eastAsia="lt-LT"/>
        </w:rPr>
        <w:t xml:space="preserve">pagalbą derinant Supervizijų grafikus tarp </w:t>
      </w:r>
      <w:r>
        <w:rPr>
          <w:rFonts w:eastAsia="Times New Roman" w:cs="Times New Roman"/>
          <w:b/>
          <w:bCs/>
          <w:kern w:val="0"/>
          <w:lang w:eastAsia="lt-LT"/>
        </w:rPr>
        <w:t>supervizorių</w:t>
      </w:r>
      <w:r>
        <w:rPr>
          <w:rFonts w:eastAsia="F1" w:cs="Times New Roman"/>
          <w:kern w:val="0"/>
          <w:lang w:eastAsia="lt-LT"/>
        </w:rPr>
        <w:t xml:space="preserve"> ir dalyvių;</w:t>
      </w:r>
    </w:p>
    <w:p>
      <w:pPr>
        <w:pStyle w:val="Standard"/>
        <w:numPr>
          <w:ilvl w:val="1"/>
          <w:numId w:val="15"/>
        </w:numPr>
        <w:spacing w:lineRule="auto" w:line="276" w:before="0" w:after="160"/>
        <w:ind w:hanging="567" w:left="567"/>
        <w:jc w:val="both"/>
        <w:outlineLvl w:val="0"/>
        <w:rPr/>
      </w:pPr>
      <w:r>
        <w:rPr>
          <w:rFonts w:eastAsia="F1" w:cs="Times New Roman"/>
          <w:kern w:val="0"/>
          <w:szCs w:val="24"/>
          <w:lang w:eastAsia="lt-LT"/>
        </w:rPr>
        <w:t xml:space="preserve"> </w:t>
      </w:r>
      <w:r>
        <w:rPr>
          <w:rFonts w:eastAsia="F1" w:cs="Times New Roman"/>
          <w:kern w:val="0"/>
          <w:szCs w:val="24"/>
          <w:lang w:eastAsia="lt-LT"/>
        </w:rPr>
        <w:t>mokymų dalyvių informavimą apie vyksiančias Supervizijas</w:t>
      </w:r>
      <w:r>
        <w:rPr>
          <w:rFonts w:eastAsia="Times New Roman" w:cs="Times New Roman"/>
          <w:kern w:val="0"/>
          <w:szCs w:val="24"/>
          <w:lang w:eastAsia="lt-LT"/>
        </w:rPr>
        <w:t>;</w:t>
      </w:r>
    </w:p>
    <w:p>
      <w:pPr>
        <w:pStyle w:val="Standard"/>
        <w:numPr>
          <w:ilvl w:val="1"/>
          <w:numId w:val="16"/>
        </w:numPr>
        <w:spacing w:lineRule="auto" w:line="276" w:before="0" w:after="160"/>
        <w:ind w:hanging="567" w:left="567"/>
        <w:jc w:val="both"/>
        <w:outlineLvl w:val="0"/>
        <w:rPr/>
      </w:pPr>
      <w:r>
        <w:rPr>
          <w:rFonts w:eastAsia="F1" w:cs="Times New Roman"/>
          <w:kern w:val="0"/>
          <w:szCs w:val="24"/>
          <w:lang w:eastAsia="lt-LT"/>
        </w:rPr>
        <w:t xml:space="preserve"> </w:t>
      </w:r>
      <w:r>
        <w:rPr>
          <w:rFonts w:eastAsia="F1" w:cs="Times New Roman"/>
          <w:kern w:val="0"/>
          <w:szCs w:val="24"/>
          <w:lang w:eastAsia="lt-LT"/>
        </w:rPr>
        <w:t>dalyvių registraciją ir prisijungimo kodų prie nuotolinio Supervizijų mokymo sistemos/vartotojų sukūrimą (nuotoliniams mokymams vykdyti reikalinga mokymo platforma pasirūpina Tiekėjas);</w:t>
      </w:r>
      <w:r>
        <w:rPr>
          <w:rFonts w:eastAsia="Times New Roman" w:cs="Times New Roman"/>
          <w:kern w:val="0"/>
          <w:szCs w:val="24"/>
          <w:lang w:eastAsia="lt-LT"/>
        </w:rPr>
        <w:t> </w:t>
      </w:r>
    </w:p>
    <w:p>
      <w:pPr>
        <w:pStyle w:val="Standard"/>
        <w:numPr>
          <w:ilvl w:val="1"/>
          <w:numId w:val="17"/>
        </w:numPr>
        <w:spacing w:lineRule="auto" w:line="276" w:before="0" w:after="160"/>
        <w:ind w:hanging="567" w:left="567"/>
        <w:jc w:val="both"/>
        <w:outlineLvl w:val="0"/>
        <w:rPr/>
      </w:pPr>
      <w:r>
        <w:rPr>
          <w:rFonts w:eastAsia="Times New Roman" w:cs="Times New Roman"/>
          <w:kern w:val="0"/>
          <w:szCs w:val="24"/>
          <w:lang w:eastAsia="lt-LT"/>
        </w:rPr>
        <w:t xml:space="preserve"> </w:t>
      </w:r>
      <w:r>
        <w:rPr>
          <w:rFonts w:eastAsia="Times New Roman" w:cs="Times New Roman"/>
          <w:kern w:val="0"/>
          <w:szCs w:val="24"/>
          <w:lang w:eastAsia="lt-LT"/>
        </w:rPr>
        <w:t xml:space="preserve">Lektoriaus/supervizoriaus </w:t>
      </w:r>
      <w:r>
        <w:rPr>
          <w:rFonts w:eastAsia="F1" w:cs="Times New Roman"/>
          <w:kern w:val="0"/>
          <w:szCs w:val="24"/>
          <w:lang w:eastAsia="lt-LT"/>
        </w:rPr>
        <w:t>pasirengimo, administracines, organizacines, ir kitas reikalingas išlaidas;</w:t>
      </w:r>
      <w:r>
        <w:rPr>
          <w:rFonts w:eastAsia="Times New Roman" w:cs="Times New Roman"/>
          <w:kern w:val="0"/>
          <w:szCs w:val="24"/>
          <w:lang w:eastAsia="lt-LT"/>
        </w:rPr>
        <w:t> </w:t>
      </w:r>
    </w:p>
    <w:p>
      <w:pPr>
        <w:pStyle w:val="Standard"/>
        <w:numPr>
          <w:ilvl w:val="1"/>
          <w:numId w:val="18"/>
        </w:numPr>
        <w:spacing w:lineRule="auto" w:line="276" w:before="0" w:after="160"/>
        <w:ind w:hanging="567" w:left="567"/>
        <w:jc w:val="both"/>
        <w:outlineLvl w:val="0"/>
        <w:rPr/>
      </w:pPr>
      <w:r>
        <w:rPr>
          <w:rFonts w:eastAsia="F1" w:cs="Times New Roman"/>
          <w:kern w:val="0"/>
          <w:szCs w:val="24"/>
          <w:lang w:eastAsia="lt-LT"/>
        </w:rPr>
        <w:t xml:space="preserve"> </w:t>
      </w:r>
      <w:r>
        <w:rPr>
          <w:rFonts w:eastAsia="F1" w:cs="Times New Roman"/>
          <w:kern w:val="0"/>
          <w:szCs w:val="24"/>
          <w:lang w:eastAsia="lt-LT"/>
        </w:rPr>
        <w:t xml:space="preserve">4 val. mokymų (baigiamojo susitikimo) organizavimą: </w:t>
      </w:r>
      <w:r>
        <w:rPr>
          <w:rFonts w:eastAsia="Times New Roman" w:cs="Times New Roman"/>
          <w:kern w:val="0"/>
          <w:szCs w:val="24"/>
          <w:lang w:eastAsia="lt-LT"/>
        </w:rPr>
        <w:t xml:space="preserve">grafiko suderinimą su mokymų dalyviais, prisijungimo kodų prie nuotolinių </w:t>
      </w:r>
      <w:r>
        <w:rPr>
          <w:rFonts w:eastAsia="F1" w:cs="Times New Roman"/>
          <w:kern w:val="0"/>
          <w:szCs w:val="24"/>
          <w:lang w:eastAsia="lt-LT"/>
        </w:rPr>
        <w:t>4 val. mokymų (baigiamojo susitikimo)</w:t>
      </w:r>
      <w:r>
        <w:rPr>
          <w:rFonts w:eastAsia="Times New Roman" w:cs="Times New Roman"/>
          <w:kern w:val="0"/>
          <w:szCs w:val="24"/>
          <w:lang w:eastAsia="lt-LT"/>
        </w:rPr>
        <w:t xml:space="preserve"> sukūrimą </w:t>
      </w:r>
      <w:r>
        <w:rPr>
          <w:rFonts w:eastAsia="F1" w:cs="Times New Roman"/>
          <w:kern w:val="0"/>
          <w:szCs w:val="24"/>
          <w:lang w:eastAsia="lt-LT"/>
        </w:rPr>
        <w:t>(4 val. mokymams (baigiamajam susitikimui) vykdyti reikalinga mokymo platforma pasirūpina Tiekėjas);</w:t>
      </w:r>
    </w:p>
    <w:p>
      <w:pPr>
        <w:pStyle w:val="Standard"/>
        <w:numPr>
          <w:ilvl w:val="1"/>
          <w:numId w:val="19"/>
        </w:numPr>
        <w:tabs>
          <w:tab w:val="clear" w:pos="1296"/>
          <w:tab w:val="left" w:pos="1844" w:leader="none"/>
        </w:tabs>
        <w:spacing w:lineRule="auto" w:line="276" w:before="0" w:after="160"/>
        <w:ind w:hanging="567" w:left="567"/>
        <w:jc w:val="both"/>
        <w:outlineLvl w:val="0"/>
        <w:rPr/>
      </w:pPr>
      <w:r>
        <w:rPr>
          <w:rFonts w:eastAsia="F1" w:cs="Times New Roman"/>
          <w:kern w:val="0"/>
          <w:lang w:eastAsia="lt-LT"/>
        </w:rPr>
        <w:t xml:space="preserve"> </w:t>
      </w:r>
      <w:r>
        <w:rPr>
          <w:rFonts w:eastAsia="F1" w:cs="Times New Roman"/>
          <w:kern w:val="0"/>
          <w:lang w:eastAsia="lt-LT"/>
        </w:rPr>
        <w:t>įvykus ASSIP programos veikloms, 1-2 dienų bėgyje,  Tiekėjas išsiunčia elektroniniu paštu dalyviams su Perkančiąja organizacija suderintą mokymų vertinimo anketą (elektroninę versiją), apibendrina bei Perkančiajai organizacijai pateikia apibendrintus vertinimo anketos rezultatus.</w:t>
      </w:r>
      <w:r>
        <w:rPr>
          <w:rFonts w:eastAsia="Times New Roman" w:cs="Times New Roman"/>
          <w:kern w:val="0"/>
          <w:lang w:eastAsia="lt-LT"/>
        </w:rPr>
        <w:t> </w:t>
      </w:r>
    </w:p>
    <w:p>
      <w:pPr>
        <w:pStyle w:val="Standard"/>
        <w:numPr>
          <w:ilvl w:val="0"/>
          <w:numId w:val="0"/>
        </w:numPr>
        <w:tabs>
          <w:tab w:val="clear" w:pos="1296"/>
          <w:tab w:val="left" w:pos="4866" w:leader="none"/>
        </w:tabs>
        <w:ind w:hanging="141" w:left="567"/>
        <w:jc w:val="both"/>
        <w:outlineLvl w:val="0"/>
        <w:rPr/>
      </w:pPr>
      <w:r>
        <w:rPr>
          <w:rFonts w:eastAsia="Times New Roman" w:cs="Times New Roman"/>
          <w:kern w:val="0"/>
          <w:szCs w:val="24"/>
          <w:lang w:eastAsia="lt-LT"/>
        </w:rPr>
        <w:t> </w:t>
      </w:r>
      <w:r>
        <w:rPr>
          <w:rFonts w:eastAsia="Times New Roman" w:cs="Times New Roman"/>
          <w:kern w:val="0"/>
          <w:szCs w:val="24"/>
          <w:lang w:eastAsia="lt-LT"/>
        </w:rPr>
        <w:tab/>
      </w:r>
    </w:p>
    <w:p>
      <w:pPr>
        <w:pStyle w:val="Standard"/>
        <w:numPr>
          <w:ilvl w:val="0"/>
          <w:numId w:val="0"/>
        </w:numPr>
        <w:ind w:hanging="426" w:left="426"/>
        <w:jc w:val="center"/>
        <w:outlineLvl w:val="0"/>
        <w:rPr/>
      </w:pPr>
      <w:r>
        <w:rPr>
          <w:rFonts w:eastAsia="F1" w:cs="Times New Roman"/>
          <w:b/>
          <w:bCs/>
          <w:kern w:val="0"/>
          <w:szCs w:val="24"/>
          <w:lang w:eastAsia="lt-LT"/>
        </w:rPr>
        <w:t>IV SKYRIUS</w:t>
      </w:r>
      <w:r>
        <w:rPr>
          <w:rFonts w:eastAsia="Times New Roman" w:cs="Times New Roman"/>
          <w:kern w:val="0"/>
          <w:szCs w:val="24"/>
          <w:lang w:eastAsia="lt-LT"/>
        </w:rPr>
        <w:t> </w:t>
      </w:r>
    </w:p>
    <w:p>
      <w:pPr>
        <w:pStyle w:val="Standard"/>
        <w:numPr>
          <w:ilvl w:val="0"/>
          <w:numId w:val="0"/>
        </w:numPr>
        <w:ind w:hanging="426" w:left="426"/>
        <w:jc w:val="center"/>
        <w:outlineLvl w:val="0"/>
        <w:rPr/>
      </w:pPr>
      <w:r>
        <w:rPr>
          <w:rFonts w:eastAsia="F1" w:cs="Times New Roman"/>
          <w:b/>
          <w:bCs/>
          <w:kern w:val="0"/>
          <w:szCs w:val="24"/>
          <w:lang w:eastAsia="lt-LT"/>
        </w:rPr>
        <w:t>BENDRI REIKALAVIMAI PIRKIMUI</w:t>
      </w:r>
      <w:r>
        <w:rPr>
          <w:rFonts w:eastAsia="Times New Roman" w:cs="Times New Roman"/>
          <w:kern w:val="0"/>
          <w:szCs w:val="24"/>
          <w:lang w:eastAsia="lt-LT"/>
        </w:rPr>
        <w:t> </w:t>
      </w:r>
    </w:p>
    <w:p>
      <w:pPr>
        <w:pStyle w:val="Standard"/>
        <w:numPr>
          <w:ilvl w:val="0"/>
          <w:numId w:val="0"/>
        </w:numPr>
        <w:ind w:hanging="426" w:left="426"/>
        <w:jc w:val="both"/>
        <w:outlineLvl w:val="0"/>
        <w:rPr>
          <w:rFonts w:eastAsia="Times New Roman" w:cs="Times New Roman"/>
          <w:kern w:val="0"/>
          <w:szCs w:val="24"/>
          <w:lang w:eastAsia="lt-LT"/>
        </w:rPr>
      </w:pPr>
      <w:r>
        <w:rPr>
          <w:rFonts w:eastAsia="Times New Roman" w:cs="Times New Roman"/>
          <w:kern w:val="0"/>
          <w:szCs w:val="24"/>
          <w:lang w:eastAsia="lt-LT"/>
        </w:rPr>
      </w:r>
    </w:p>
    <w:p>
      <w:pPr>
        <w:pStyle w:val="Standard"/>
        <w:numPr>
          <w:ilvl w:val="0"/>
          <w:numId w:val="20"/>
        </w:numPr>
        <w:spacing w:lineRule="auto" w:line="276" w:before="0" w:after="160"/>
        <w:jc w:val="both"/>
        <w:outlineLvl w:val="0"/>
        <w:rPr/>
      </w:pPr>
      <w:r>
        <w:rPr>
          <w:rFonts w:eastAsia="F1" w:cs="Times New Roman"/>
          <w:kern w:val="0"/>
          <w:szCs w:val="24"/>
          <w:lang w:eastAsia="lt-LT"/>
        </w:rPr>
        <w:t xml:space="preserve"> </w:t>
      </w:r>
      <w:r>
        <w:rPr>
          <w:rFonts w:eastAsia="Times New Roman" w:cs="Times New Roman"/>
          <w:kern w:val="0"/>
          <w:szCs w:val="24"/>
          <w:lang w:eastAsia="lt-LT"/>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Standard"/>
        <w:numPr>
          <w:ilvl w:val="0"/>
          <w:numId w:val="21"/>
        </w:numPr>
        <w:tabs>
          <w:tab w:val="clear" w:pos="1296"/>
          <w:tab w:val="left" w:pos="852" w:leader="none"/>
        </w:tabs>
        <w:spacing w:lineRule="auto" w:line="276" w:before="0" w:after="160"/>
        <w:jc w:val="both"/>
        <w:outlineLvl w:val="0"/>
        <w:rPr/>
      </w:pPr>
      <w:r>
        <w:rPr>
          <w:rFonts w:eastAsia="F1"/>
          <w:sz w:val="21"/>
          <w:szCs w:val="21"/>
          <w:lang w:eastAsia="lt-LT"/>
        </w:rPr>
        <w:t xml:space="preserve"> </w:t>
      </w:r>
      <w:r>
        <w:rPr>
          <w:rFonts w:eastAsia="F1" w:cs="Times New Roman"/>
          <w:szCs w:val="24"/>
          <w:lang w:eastAsia="lt-LT"/>
        </w:rPr>
        <w:t>Paslaugų teikėjas privalo turėti galimybę įgyvendinti tinkamas organizacines ir tinkamas asmens duomenų saugumo priemones.</w:t>
      </w:r>
    </w:p>
    <w:p>
      <w:pPr>
        <w:pStyle w:val="Standard"/>
        <w:numPr>
          <w:ilvl w:val="0"/>
          <w:numId w:val="22"/>
        </w:numPr>
        <w:spacing w:lineRule="auto" w:line="276" w:before="0" w:after="160"/>
        <w:jc w:val="both"/>
        <w:outlineLvl w:val="0"/>
        <w:rPr/>
      </w:pPr>
      <w:r>
        <w:rPr>
          <w:rFonts w:eastAsia="F1" w:cs="Times New Roman"/>
          <w:kern w:val="0"/>
          <w:szCs w:val="24"/>
          <w:lang w:eastAsia="lt-LT"/>
        </w:rPr>
        <w:t>Paslaugų teikėjas turi užtikrinti nenutrūkstamą Paslaugų teikimo sutarties vykdymą, gerą veiklos organizavimą, efektyvų paslaugų įgyvendinimą laiku ir aktyviai bendradarbiauti su Perkančiosios organizacijos darbuotojais.</w:t>
      </w:r>
      <w:r>
        <w:rPr>
          <w:rFonts w:eastAsia="Times New Roman" w:cs="Times New Roman"/>
          <w:kern w:val="0"/>
          <w:szCs w:val="24"/>
          <w:lang w:eastAsia="lt-LT"/>
        </w:rPr>
        <w:t> </w:t>
      </w:r>
    </w:p>
    <w:p>
      <w:pPr>
        <w:pStyle w:val="Standard"/>
        <w:numPr>
          <w:ilvl w:val="0"/>
          <w:numId w:val="23"/>
        </w:numPr>
        <w:spacing w:lineRule="auto" w:line="276" w:before="0" w:after="160"/>
        <w:jc w:val="both"/>
        <w:outlineLvl w:val="0"/>
        <w:rPr/>
      </w:pPr>
      <w:r>
        <w:rPr>
          <w:rFonts w:eastAsia="Times New Roman" w:cs="Times New Roman"/>
          <w:kern w:val="0"/>
          <w:szCs w:val="24"/>
          <w:lang w:eastAsia="lt-LT"/>
        </w:rPr>
        <w:t xml:space="preserve">Supervizoriaus </w:t>
      </w:r>
      <w:r>
        <w:rPr>
          <w:rFonts w:eastAsia="F1" w:cs="Times New Roman"/>
          <w:kern w:val="0"/>
          <w:szCs w:val="24"/>
          <w:lang w:eastAsia="lt-LT"/>
        </w:rPr>
        <w:t>teikiamos paslaugos privalo būti kokybiškos ir profesionalios, atitinkančios geriausius, visuotinai pripažįstamus profesinius, techninius standartus ir praktiką, bei suteiktos panaudojant visus reikiamus įgūdžius ir žinias.</w:t>
      </w:r>
      <w:r>
        <w:rPr>
          <w:rFonts w:eastAsia="Times New Roman" w:cs="Times New Roman"/>
          <w:kern w:val="0"/>
          <w:szCs w:val="24"/>
          <w:lang w:eastAsia="lt-LT"/>
        </w:rPr>
        <w:t> </w:t>
      </w:r>
    </w:p>
    <w:p>
      <w:pPr>
        <w:pStyle w:val="Standard"/>
        <w:numPr>
          <w:ilvl w:val="0"/>
          <w:numId w:val="24"/>
        </w:numPr>
        <w:spacing w:lineRule="auto" w:line="276" w:before="0" w:after="160"/>
        <w:jc w:val="both"/>
        <w:outlineLvl w:val="0"/>
        <w:rPr/>
      </w:pPr>
      <w:r>
        <w:rPr>
          <w:rFonts w:eastAsia="F1" w:cs="Times New Roman"/>
          <w:kern w:val="0"/>
          <w:szCs w:val="24"/>
          <w:lang w:eastAsia="lt-LT"/>
        </w:rPr>
        <w:t>Tiekėjas turi paskirti atsakingą asmenį, į kurį Perkančioji organizacija galėtų kreiptis dėl teikiamų paslaugų ir (arba) mokymų metu iškilus problemoms dėl naudojamos įrangos ir (arba) kitų nenumatytų techninių problemų.</w:t>
      </w:r>
      <w:r>
        <w:rPr>
          <w:rFonts w:eastAsia="Times New Roman" w:cs="Times New Roman"/>
          <w:kern w:val="0"/>
          <w:szCs w:val="24"/>
          <w:lang w:eastAsia="lt-LT"/>
        </w:rPr>
        <w:t> </w:t>
      </w:r>
    </w:p>
    <w:p>
      <w:pPr>
        <w:pStyle w:val="Standard"/>
        <w:numPr>
          <w:ilvl w:val="0"/>
          <w:numId w:val="25"/>
        </w:numPr>
        <w:spacing w:lineRule="auto" w:line="276" w:before="0" w:after="160"/>
        <w:jc w:val="both"/>
        <w:outlineLvl w:val="0"/>
        <w:rPr/>
      </w:pPr>
      <w:r>
        <w:rPr>
          <w:rFonts w:eastAsia="F1" w:cs="Times New Roman"/>
          <w:kern w:val="0"/>
          <w:szCs w:val="24"/>
          <w:lang w:eastAsia="lt-LT"/>
        </w:rPr>
        <w:t>Po ASSIP mokymų (baigiamojo susitikimo) ir Supervizijų Tiekėjas Perkančiai organizacijai pateikia paslaugų įvykdymo ataskaitą, kurią sudaro: nuotolinių Supervizijų prisijungusių dalyvių sąrašas; mokymų kokybės vertinimo anketos; mokymų ir Supervizijų kokybės vertinimo anketų apibendrinimas; apibendrinta veiklos ataskaita (paslaugų Teikėjo refleksijos, pastebėjimai, pasiūlymai).</w:t>
      </w:r>
      <w:r>
        <w:rPr>
          <w:rFonts w:eastAsia="Times New Roman" w:cs="Times New Roman"/>
          <w:kern w:val="0"/>
          <w:szCs w:val="24"/>
          <w:lang w:eastAsia="lt-LT"/>
        </w:rPr>
        <w:t> </w:t>
      </w:r>
    </w:p>
    <w:p>
      <w:pPr>
        <w:pStyle w:val="Standard"/>
        <w:numPr>
          <w:ilvl w:val="0"/>
          <w:numId w:val="26"/>
        </w:numPr>
        <w:spacing w:lineRule="auto" w:line="276" w:before="0" w:after="160"/>
        <w:jc w:val="both"/>
        <w:outlineLvl w:val="0"/>
        <w:rPr/>
      </w:pPr>
      <w:r>
        <w:rPr>
          <w:rFonts w:eastAsia="Times New Roman" w:cs="Times New Roman"/>
          <w:kern w:val="0"/>
          <w:szCs w:val="24"/>
          <w:lang w:eastAsia="lt-LT"/>
        </w:rPr>
        <w:t>Paslaugų teikėjas privalo informuoti mokymų dalyvius apie jų asmens duomenų perdavimą Perkančiajai organizacijai.</w:t>
      </w:r>
    </w:p>
    <w:p>
      <w:pPr>
        <w:pStyle w:val="Standard"/>
        <w:numPr>
          <w:ilvl w:val="0"/>
          <w:numId w:val="27"/>
        </w:numPr>
        <w:spacing w:lineRule="auto" w:line="276" w:before="0" w:after="160"/>
        <w:jc w:val="both"/>
        <w:outlineLvl w:val="0"/>
        <w:rPr>
          <w:b/>
          <w:bCs/>
        </w:rPr>
      </w:pPr>
      <w:r>
        <w:rPr>
          <w:rFonts w:eastAsia="F1" w:cs="Times New Roman"/>
          <w:kern w:val="0"/>
          <w:szCs w:val="24"/>
          <w:lang w:eastAsia="lt-LT"/>
        </w:rPr>
        <w:t xml:space="preserve">Paslaugų pabaiga laikoma paslaugų perdavimo – priėmimo akto ir sąskaitos faktūros pateikimo Perkančiajai organizacijai diena. </w:t>
      </w:r>
      <w:r>
        <w:rPr>
          <w:rFonts w:eastAsia="F1" w:cs="Times New Roman"/>
          <w:b/>
          <w:bCs/>
          <w:kern w:val="0"/>
          <w:szCs w:val="24"/>
          <w:lang w:eastAsia="lt-LT"/>
        </w:rPr>
        <w:t xml:space="preserve">Visa </w:t>
      </w:r>
      <w:r>
        <w:rPr>
          <w:rFonts w:eastAsia="Times New Roman" w:cs="Times New Roman"/>
          <w:b/>
          <w:bCs/>
          <w:kern w:val="0"/>
          <w:szCs w:val="24"/>
          <w:lang w:eastAsia="lt-LT"/>
        </w:rPr>
        <w:t>ASSIP mokymų programa turi būti įgyvendinta per 5 mėn. nuo sutarties pasirašymo dienos.</w:t>
      </w:r>
    </w:p>
    <w:p>
      <w:pPr>
        <w:pStyle w:val="Standard"/>
        <w:numPr>
          <w:ilvl w:val="0"/>
          <w:numId w:val="28"/>
        </w:numPr>
        <w:spacing w:lineRule="auto" w:line="276" w:before="0" w:after="160"/>
        <w:jc w:val="both"/>
        <w:outlineLvl w:val="0"/>
        <w:rPr/>
      </w:pPr>
      <w:r>
        <w:rPr>
          <w:rFonts w:eastAsia="F1" w:cs="Times New Roman"/>
          <w:kern w:val="0"/>
          <w:szCs w:val="24"/>
          <w:lang w:eastAsia="lt-LT"/>
        </w:rPr>
        <w:t xml:space="preserve">Tiekėjas, likus ne daugiau kaip 1 savaitei iki supervizijų pradžios, pateikia Perkančiajai organizacijai supervizijų ir 4 val. mokymų (baigiamojo susitikimo) grafiką. Pasikeitus pateikto supervizijų ir 4 val. mokymų (baigiamojo susitikimo) grafiko informacijai, visais atvejais apie pakeitimus Perkančioji organizacija turi būti informuota ne vėliau kaip prieš 10 (dešimt) kalendorinių dienų iki planuotos supervizijos arba 4 val. mokymų (baigiamojo susitikimo) pradžios, pateikiant patikslintą supervizijų </w:t>
      </w:r>
      <w:r>
        <w:rPr>
          <w:rFonts w:eastAsia="F1" w:cs="Times New Roman"/>
          <w:kern w:val="0"/>
          <w:szCs w:val="24"/>
          <w:shd w:fill="FFFFFF" w:val="clear"/>
          <w:lang w:eastAsia="lt-LT"/>
        </w:rPr>
        <w:t xml:space="preserve">arba </w:t>
      </w:r>
      <w:r>
        <w:rPr>
          <w:rFonts w:eastAsia="F1" w:cs="Times New Roman"/>
          <w:kern w:val="0"/>
          <w:szCs w:val="24"/>
          <w:lang w:eastAsia="lt-LT"/>
        </w:rPr>
        <w:t>4 val. mokymų (baigiamojo susitikimo) grafiką. Išimtiniais ir pagrįstais atvejais apie supervizijų arba 4 val. mokymų (baigiamojo susitikimo) grafiko pakeitimus Tiekėjas gali informuoti vėliau, bet suderinus su Perkančiąja organizacija. Tiekėjas atsakingas už tikslinės grupės informavimą apie supervizijų arba 4 val. mokymų (baigiamojo susitikimo) grafikų pasikeitimus ir dalyvių dalyvavimo mokymuose užtikrinimą. Supervizijų arba 4 val. mokymų (baigiamojo susitikimo) grafiko nepateikimas nustatyta tvarka arba grafiko nesilaikymas yra esminis pažeidimas, už kurį gali būti taikomos Lietuvos Respublikos įstatymuose bei sutartyje numatytos pasekmės (prievolių įvykdymo užtikrinimo priemonės ir kt.).</w:t>
      </w:r>
      <w:r>
        <w:rPr>
          <w:rFonts w:eastAsia="Times New Roman" w:cs="Times New Roman"/>
          <w:kern w:val="0"/>
          <w:szCs w:val="24"/>
          <w:lang w:eastAsia="lt-LT"/>
        </w:rPr>
        <w:t> </w:t>
      </w:r>
    </w:p>
    <w:p>
      <w:pPr>
        <w:pStyle w:val="Standard"/>
        <w:numPr>
          <w:ilvl w:val="0"/>
          <w:numId w:val="29"/>
        </w:numPr>
        <w:spacing w:lineRule="auto" w:line="276" w:before="0" w:after="160"/>
        <w:jc w:val="both"/>
        <w:outlineLvl w:val="0"/>
        <w:rPr/>
      </w:pPr>
      <w:r>
        <w:rPr>
          <w:rFonts w:eastAsia="F1" w:cs="Times New Roman"/>
          <w:kern w:val="0"/>
          <w:szCs w:val="24"/>
          <w:lang w:eastAsia="lt-LT"/>
        </w:rPr>
        <w:t>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w:t>
      </w:r>
      <w:r>
        <w:rPr>
          <w:rFonts w:eastAsia="Times New Roman" w:cs="Times New Roman"/>
          <w:kern w:val="0"/>
          <w:szCs w:val="24"/>
          <w:lang w:eastAsia="lt-LT"/>
        </w:rPr>
        <w:t> </w:t>
      </w:r>
    </w:p>
    <w:p>
      <w:pPr>
        <w:pStyle w:val="Standard"/>
        <w:numPr>
          <w:ilvl w:val="0"/>
          <w:numId w:val="30"/>
        </w:numPr>
        <w:spacing w:lineRule="auto" w:line="276" w:before="0" w:after="160"/>
        <w:jc w:val="both"/>
        <w:outlineLvl w:val="0"/>
        <w:rPr/>
      </w:pPr>
      <w:r>
        <w:rPr>
          <w:rFonts w:eastAsia="Times New Roman"/>
          <w:kern w:val="0"/>
          <w:szCs w:val="24"/>
          <w:lang w:eastAsia="lt-LT"/>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pPr>
        <w:pStyle w:val="Standard"/>
        <w:numPr>
          <w:ilvl w:val="0"/>
          <w:numId w:val="0"/>
        </w:numPr>
        <w:ind w:hanging="426" w:left="426"/>
        <w:jc w:val="both"/>
        <w:outlineLvl w:val="0"/>
        <w:rPr>
          <w:rFonts w:eastAsia="Times New Roman" w:cs="Times New Roman"/>
          <w:kern w:val="0"/>
          <w:szCs w:val="24"/>
          <w:lang w:eastAsia="lt-LT"/>
        </w:rPr>
      </w:pPr>
      <w:r>
        <w:rPr>
          <w:rFonts w:eastAsia="Times New Roman" w:cs="Times New Roman"/>
          <w:kern w:val="0"/>
          <w:szCs w:val="24"/>
          <w:lang w:eastAsia="lt-LT"/>
        </w:rPr>
      </w:r>
    </w:p>
    <w:p>
      <w:pPr>
        <w:pStyle w:val="Standard"/>
        <w:numPr>
          <w:ilvl w:val="0"/>
          <w:numId w:val="0"/>
        </w:numPr>
        <w:ind w:hanging="426" w:left="426"/>
        <w:jc w:val="center"/>
        <w:outlineLvl w:val="0"/>
        <w:rPr/>
      </w:pPr>
      <w:r>
        <w:rPr>
          <w:rFonts w:cs="Times New Roman"/>
          <w:b/>
          <w:bCs/>
          <w:kern w:val="0"/>
          <w:szCs w:val="24"/>
          <w:lang w:eastAsia="lt-LT"/>
        </w:rPr>
        <w:t>V. ASMENS DUOMENŲ TVARKYMAS</w:t>
      </w:r>
    </w:p>
    <w:p>
      <w:pPr>
        <w:pStyle w:val="Standard"/>
        <w:numPr>
          <w:ilvl w:val="0"/>
          <w:numId w:val="0"/>
        </w:numPr>
        <w:ind w:hanging="426" w:left="426"/>
        <w:jc w:val="both"/>
        <w:outlineLvl w:val="0"/>
        <w:rPr>
          <w:rFonts w:cs="Times New Roman"/>
          <w:b/>
          <w:bCs/>
          <w:kern w:val="0"/>
          <w:szCs w:val="24"/>
          <w:lang w:eastAsia="lt-LT"/>
        </w:rPr>
      </w:pPr>
      <w:r>
        <w:rPr>
          <w:rFonts w:cs="Times New Roman"/>
          <w:b/>
          <w:bCs/>
          <w:kern w:val="0"/>
          <w:szCs w:val="24"/>
          <w:lang w:eastAsia="lt-LT"/>
        </w:rPr>
      </w:r>
    </w:p>
    <w:p>
      <w:pPr>
        <w:pStyle w:val="Standard"/>
        <w:numPr>
          <w:ilvl w:val="0"/>
          <w:numId w:val="31"/>
        </w:numPr>
        <w:tabs>
          <w:tab w:val="clear" w:pos="1296"/>
          <w:tab w:val="left" w:pos="993" w:leader="none"/>
          <w:tab w:val="left" w:pos="1135" w:leader="none"/>
        </w:tabs>
        <w:spacing w:lineRule="auto" w:line="276" w:before="0" w:after="160"/>
        <w:contextualSpacing/>
        <w:jc w:val="both"/>
        <w:outlineLvl w:val="0"/>
        <w:rPr/>
      </w:pPr>
      <w:r>
        <w:rPr>
          <w:rFonts w:eastAsia="F1" w:cs="Times New Roman"/>
          <w:kern w:val="0"/>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Standard"/>
        <w:numPr>
          <w:ilvl w:val="0"/>
          <w:numId w:val="32"/>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pPr>
        <w:pStyle w:val="Standard"/>
        <w:numPr>
          <w:ilvl w:val="0"/>
          <w:numId w:val="33"/>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Kilus ginčams dėl viešųjų pirkimų organizavimo ar Sutarties vykdymo, Perkančioji organizacija gali tvarkyti 20 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Standard"/>
        <w:numPr>
          <w:ilvl w:val="0"/>
          <w:numId w:val="34"/>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pPr>
        <w:pStyle w:val="Standard"/>
        <w:numPr>
          <w:ilvl w:val="0"/>
          <w:numId w:val="35"/>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Asmens duomenų pateikimas yra privalomas. Nepateikus asmens duomenų Paslaugų teikėjo pasiūlymas negalės būti vertinamas bei nebus galima sudaryti ir vykdyti Sutarties.</w:t>
      </w:r>
    </w:p>
    <w:p>
      <w:pPr>
        <w:pStyle w:val="Standard"/>
        <w:numPr>
          <w:ilvl w:val="0"/>
          <w:numId w:val="36"/>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 xml:space="preserve">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Standard"/>
        <w:numPr>
          <w:ilvl w:val="0"/>
          <w:numId w:val="37"/>
        </w:numPr>
        <w:tabs>
          <w:tab w:val="clear" w:pos="1296"/>
          <w:tab w:val="left" w:pos="710" w:leader="none"/>
          <w:tab w:val="left" w:pos="852" w:leader="none"/>
        </w:tabs>
        <w:spacing w:lineRule="auto" w:line="276" w:before="0" w:after="160"/>
        <w:contextualSpacing/>
        <w:jc w:val="both"/>
        <w:outlineLvl w:val="0"/>
        <w:rPr/>
      </w:pPr>
      <w:r>
        <w:rPr>
          <w:rFonts w:eastAsia="F1" w:cs="Times New Roman"/>
          <w:kern w:val="0"/>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eastAsia="F1" w:cs="Times New Roman"/>
            <w:kern w:val="0"/>
            <w:szCs w:val="24"/>
            <w:lang w:eastAsia="lt-LT"/>
          </w:rPr>
          <w:t>https://vdai.lrv.lt/</w:t>
        </w:r>
      </w:hyperlink>
      <w:r>
        <w:rPr>
          <w:rFonts w:eastAsia="F1" w:cs="Times New Roman"/>
          <w:kern w:val="0"/>
          <w:szCs w:val="24"/>
          <w:lang w:eastAsia="lt-LT"/>
        </w:rPr>
        <w:t>.</w:t>
      </w:r>
    </w:p>
    <w:p>
      <w:pPr>
        <w:pStyle w:val="Standard"/>
        <w:numPr>
          <w:ilvl w:val="0"/>
          <w:numId w:val="38"/>
        </w:numPr>
        <w:tabs>
          <w:tab w:val="clear" w:pos="1296"/>
          <w:tab w:val="left" w:pos="710" w:leader="none"/>
          <w:tab w:val="left" w:pos="852" w:leader="none"/>
        </w:tabs>
        <w:spacing w:lineRule="auto" w:line="276" w:before="0" w:after="160"/>
        <w:contextualSpacing/>
        <w:jc w:val="both"/>
        <w:outlineLvl w:val="0"/>
        <w:rPr>
          <w:color w:themeColor="text1" w:val="000000"/>
        </w:rPr>
      </w:pPr>
      <w:r>
        <w:rPr>
          <w:rFonts w:eastAsia="F1" w:cs="Times New Roman"/>
          <w:kern w:val="0"/>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3">
        <w:r>
          <w:rPr>
            <w:rFonts w:eastAsia="F1" w:cs="Times New Roman"/>
            <w:kern w:val="0"/>
            <w:szCs w:val="24"/>
            <w:lang w:eastAsia="lt-LT"/>
          </w:rPr>
          <w:t>institutas@hi.lt</w:t>
        </w:r>
      </w:hyperlink>
      <w:r>
        <w:rPr>
          <w:rFonts w:eastAsia="F1" w:cs="Times New Roman"/>
          <w:kern w:val="0"/>
          <w:szCs w:val="24"/>
          <w:lang w:eastAsia="lt-LT"/>
        </w:rPr>
        <w:t xml:space="preserve"> ar jo duomenų apsaugos pareigūnui el. paštu </w:t>
      </w:r>
      <w:r>
        <w:rPr>
          <w:rFonts w:eastAsia="F1" w:cs="Times New Roman"/>
          <w:color w:themeColor="text1" w:val="000000"/>
          <w:kern w:val="0"/>
          <w:szCs w:val="24"/>
          <w:lang w:eastAsia="lt-LT"/>
        </w:rPr>
        <w:t>ada.ekspertai@gmail.com.</w:t>
      </w:r>
    </w:p>
    <w:p>
      <w:pPr>
        <w:pStyle w:val="Standard"/>
        <w:numPr>
          <w:ilvl w:val="0"/>
          <w:numId w:val="39"/>
        </w:numPr>
        <w:tabs>
          <w:tab w:val="clear" w:pos="1296"/>
          <w:tab w:val="left" w:pos="710" w:leader="none"/>
          <w:tab w:val="left" w:pos="852" w:leader="none"/>
          <w:tab w:val="left" w:pos="1135" w:leader="none"/>
        </w:tabs>
        <w:spacing w:lineRule="auto" w:line="276" w:before="0" w:after="160"/>
        <w:contextualSpacing/>
        <w:jc w:val="both"/>
        <w:outlineLvl w:val="0"/>
        <w:rPr/>
      </w:pPr>
      <w:r>
        <w:rPr>
          <w:rFonts w:eastAsia="F1" w:cs="Times New Roman"/>
          <w:kern w:val="0"/>
          <w:szCs w:val="24"/>
          <w:lang w:eastAsia="lt-LT"/>
        </w:rPr>
        <w:t>Paslaugų teikėjas, prieš teikdamas pasiūlymą ir prieš sudarydamas Sutartį, nurodytus fizinius asmenis privalo supažindinti su 19-26 punktuose pateikta informacija apie Perkančiosios organizacijos vykdomą asmens duomenų tvarkymą.</w:t>
      </w:r>
    </w:p>
    <w:p>
      <w:pPr>
        <w:pStyle w:val="Standard"/>
        <w:widowControl w:val="false"/>
        <w:numPr>
          <w:ilvl w:val="0"/>
          <w:numId w:val="40"/>
        </w:numPr>
        <w:shd w:val="clear" w:color="auto" w:fill="FFFFFF"/>
        <w:tabs>
          <w:tab w:val="clear" w:pos="1296"/>
          <w:tab w:val="left" w:pos="710" w:leader="none"/>
          <w:tab w:val="left" w:pos="852" w:leader="none"/>
          <w:tab w:val="left" w:pos="1277" w:leader="none"/>
          <w:tab w:val="left" w:pos="1335" w:leader="none"/>
          <w:tab w:val="left" w:pos="1419" w:leader="none"/>
          <w:tab w:val="left" w:pos="1619" w:leader="none"/>
        </w:tabs>
        <w:spacing w:lineRule="auto" w:line="276" w:before="0" w:after="160"/>
        <w:ind w:hanging="360" w:left="360" w:right="-1"/>
        <w:contextualSpacing/>
        <w:jc w:val="both"/>
        <w:outlineLvl w:val="0"/>
        <w:rPr/>
      </w:pPr>
      <w:r>
        <w:rPr>
          <w:rFonts w:eastAsia="F1" w:cs="Times New Roman"/>
          <w:kern w:val="0"/>
          <w:szCs w:val="24"/>
          <w:lang w:eastAsia="lt-LT"/>
        </w:rPr>
        <w:t>Paslaugų teikėjas, su kuriuo bus pasirašyta Sutartis, paslaugų teikimo tikslu tvarkys mokymų dalyvių asmens duomenis kaip savarankiškas duomenų valdytojas ir savarankiškai atsako už reikalavimų, įtvirtintų asmens duomenų tvarkymą ir jų apsaugą reglamentuojančiuose teisės aktuose, įgyvendinimą.</w:t>
      </w:r>
    </w:p>
    <w:p>
      <w:pPr>
        <w:pStyle w:val="Standard"/>
        <w:numPr>
          <w:ilvl w:val="0"/>
          <w:numId w:val="0"/>
        </w:numPr>
        <w:ind w:hanging="426" w:left="426"/>
        <w:outlineLvl w:val="0"/>
        <w:rPr>
          <w:rFonts w:eastAsia="F1" w:cs="Times New Roman"/>
          <w:kern w:val="0"/>
          <w:szCs w:val="24"/>
          <w:lang w:eastAsia="lt-LT"/>
        </w:rPr>
      </w:pPr>
      <w:r>
        <w:rPr>
          <w:rFonts w:eastAsia="F1" w:cs="Times New Roman"/>
          <w:kern w:val="0"/>
          <w:szCs w:val="24"/>
          <w:lang w:eastAsia="lt-LT"/>
        </w:rPr>
      </w:r>
    </w:p>
    <w:p>
      <w:pPr>
        <w:pStyle w:val="Standard"/>
        <w:numPr>
          <w:ilvl w:val="0"/>
          <w:numId w:val="0"/>
        </w:numPr>
        <w:ind w:hanging="426" w:left="426"/>
        <w:outlineLvl w:val="0"/>
        <w:rPr>
          <w:rFonts w:eastAsia="F1" w:cs="Times New Roman"/>
          <w:kern w:val="0"/>
          <w:szCs w:val="24"/>
          <w:lang w:eastAsia="lt-LT"/>
        </w:rPr>
      </w:pPr>
      <w:r>
        <w:rPr>
          <w:rFonts w:eastAsia="F1" w:cs="Times New Roman"/>
          <w:kern w:val="0"/>
          <w:szCs w:val="24"/>
          <w:lang w:eastAsia="lt-LT"/>
        </w:rPr>
      </w:r>
    </w:p>
    <w:p>
      <w:pPr>
        <w:pStyle w:val="Normal"/>
        <w:suppressAutoHyphens w:val="false"/>
        <w:spacing w:lineRule="auto" w:line="259" w:before="0" w:after="160"/>
        <w:rPr>
          <w:rFonts w:eastAsia="F1"/>
          <w:szCs w:val="24"/>
          <w:lang w:eastAsia="lt-LT"/>
        </w:rPr>
      </w:pPr>
      <w:r>
        <w:rPr>
          <w:rFonts w:eastAsia="F1"/>
          <w:szCs w:val="24"/>
          <w:lang w:eastAsia="lt-LT"/>
        </w:rPr>
      </w:r>
    </w:p>
    <w:sectPr>
      <w:type w:val="nextPage"/>
      <w:pgSz w:w="11906" w:h="16838"/>
      <w:pgMar w:left="1418"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swiss"/>
    <w:pitch w:val="variable"/>
  </w:font>
  <w:font w:name="Segoe UI">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7"/>
      <w:numFmt w:val="decimal"/>
      <w:lvlText w:val="%1."/>
      <w:lvlJc w:val="left"/>
      <w:pPr>
        <w:tabs>
          <w:tab w:val="num" w:pos="0"/>
        </w:tabs>
        <w:ind w:left="360" w:hanging="360"/>
      </w:pPr>
      <w:rPr/>
    </w:lvl>
    <w:lvl w:ilvl="1">
      <w:start w:val="1"/>
      <w:numFmt w:val="decimal"/>
      <w:lvlText w:val="%1.%2."/>
      <w:lvlJc w:val="left"/>
      <w:pPr>
        <w:tabs>
          <w:tab w:val="num" w:pos="0"/>
        </w:tabs>
        <w:ind w:left="1440" w:hanging="360"/>
      </w:pPr>
      <w:rPr/>
    </w:lvl>
    <w:lvl w:ilvl="2">
      <w:start w:val="1"/>
      <w:numFmt w:val="decimal"/>
      <w:lvlText w:val="%1.%2.%3."/>
      <w:lvlJc w:val="left"/>
      <w:pPr>
        <w:tabs>
          <w:tab w:val="num" w:pos="0"/>
        </w:tabs>
        <w:ind w:left="2880" w:hanging="720"/>
      </w:pPr>
      <w:rPr/>
    </w:lvl>
    <w:lvl w:ilvl="3">
      <w:start w:val="1"/>
      <w:numFmt w:val="decimal"/>
      <w:lvlText w:val="%1.%2.%3.%4."/>
      <w:lvlJc w:val="left"/>
      <w:pPr>
        <w:tabs>
          <w:tab w:val="num" w:pos="0"/>
        </w:tabs>
        <w:ind w:left="3960" w:hanging="720"/>
      </w:pPr>
      <w:rPr/>
    </w:lvl>
    <w:lvl w:ilvl="4">
      <w:start w:val="1"/>
      <w:numFmt w:val="decimal"/>
      <w:lvlText w:val="%1.%2.%3.%4.%5."/>
      <w:lvlJc w:val="left"/>
      <w:pPr>
        <w:tabs>
          <w:tab w:val="num" w:pos="0"/>
        </w:tabs>
        <w:ind w:left="5400" w:hanging="1080"/>
      </w:pPr>
      <w:rPr/>
    </w:lvl>
    <w:lvl w:ilvl="5">
      <w:start w:val="1"/>
      <w:numFmt w:val="decimal"/>
      <w:lvlText w:val="%1.%2.%3.%4.%5.%6."/>
      <w:lvlJc w:val="left"/>
      <w:pPr>
        <w:tabs>
          <w:tab w:val="num" w:pos="0"/>
        </w:tabs>
        <w:ind w:left="6480" w:hanging="1080"/>
      </w:pPr>
      <w:rPr/>
    </w:lvl>
    <w:lvl w:ilvl="6">
      <w:start w:val="1"/>
      <w:numFmt w:val="decimal"/>
      <w:lvlText w:val="%1.%2.%3.%4.%5.%6.%7."/>
      <w:lvlJc w:val="left"/>
      <w:pPr>
        <w:tabs>
          <w:tab w:val="num" w:pos="0"/>
        </w:tabs>
        <w:ind w:left="7920" w:hanging="1440"/>
      </w:pPr>
      <w:rPr/>
    </w:lvl>
    <w:lvl w:ilvl="7">
      <w:start w:val="1"/>
      <w:numFmt w:val="decimal"/>
      <w:lvlText w:val="%1.%2.%3.%4.%5.%6.%7.%8."/>
      <w:lvlJc w:val="left"/>
      <w:pPr>
        <w:tabs>
          <w:tab w:val="num" w:pos="0"/>
        </w:tabs>
        <w:ind w:left="9000" w:hanging="1440"/>
      </w:pPr>
      <w:rPr/>
    </w:lvl>
    <w:lvl w:ilvl="8">
      <w:start w:val="1"/>
      <w:numFmt w:val="decimal"/>
      <w:lvlText w:val="%1.%2.%3.%4.%5.%6.%7.%8.%9."/>
      <w:lvlJc w:val="left"/>
      <w:pPr>
        <w:tabs>
          <w:tab w:val="num" w:pos="0"/>
        </w:tabs>
        <w:ind w:left="10440" w:hanging="1800"/>
      </w:pPr>
      <w:rPr/>
    </w:lvl>
  </w:abstractNum>
  <w:abstractNum w:abstractNumId="2">
    <w:lvl w:ilvl="0">
      <w:start w:val="3"/>
      <w:numFmt w:val="decimal"/>
      <w:lvlText w:val="%1."/>
      <w:lvlJc w:val="left"/>
      <w:pPr>
        <w:tabs>
          <w:tab w:val="num" w:pos="0"/>
        </w:tabs>
        <w:ind w:left="720" w:hanging="360"/>
      </w:pPr>
      <w:rPr>
        <w:b w:val="false"/>
        <w:bCs w:val="false"/>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3">
    <w:lvl w:ilvl="0">
      <w:start w:val="3"/>
      <w:numFmt w:val="decimal"/>
      <w:lvlText w:val="%1."/>
      <w:lvlJc w:val="left"/>
      <w:pPr>
        <w:tabs>
          <w:tab w:val="num" w:pos="0"/>
        </w:tabs>
        <w:ind w:left="720" w:hanging="360"/>
      </w:pPr>
      <w:rPr>
        <w:b w:val="false"/>
        <w:bCs w:val="false"/>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4">
    <w:lvl w:ilvl="0">
      <w:start w:val="6"/>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440" w:hanging="360"/>
      </w:pPr>
      <w:rPr/>
    </w:lvl>
    <w:lvl w:ilvl="2">
      <w:start w:val="1"/>
      <w:numFmt w:val="decimal"/>
      <w:lvlText w:val="%1.%2.%3."/>
      <w:lvlJc w:val="left"/>
      <w:pPr>
        <w:tabs>
          <w:tab w:val="num" w:pos="0"/>
        </w:tabs>
        <w:ind w:left="2880" w:hanging="720"/>
      </w:pPr>
      <w:rPr/>
    </w:lvl>
    <w:lvl w:ilvl="3">
      <w:start w:val="1"/>
      <w:numFmt w:val="decimal"/>
      <w:lvlText w:val="%1.%2.%3.%4."/>
      <w:lvlJc w:val="left"/>
      <w:pPr>
        <w:tabs>
          <w:tab w:val="num" w:pos="0"/>
        </w:tabs>
        <w:ind w:left="3960" w:hanging="720"/>
      </w:pPr>
      <w:rPr/>
    </w:lvl>
    <w:lvl w:ilvl="4">
      <w:start w:val="1"/>
      <w:numFmt w:val="decimal"/>
      <w:lvlText w:val="%1.%2.%3.%4.%5."/>
      <w:lvlJc w:val="left"/>
      <w:pPr>
        <w:tabs>
          <w:tab w:val="num" w:pos="0"/>
        </w:tabs>
        <w:ind w:left="5400" w:hanging="1080"/>
      </w:pPr>
      <w:rPr/>
    </w:lvl>
    <w:lvl w:ilvl="5">
      <w:start w:val="1"/>
      <w:numFmt w:val="decimal"/>
      <w:lvlText w:val="%1.%2.%3.%4.%5.%6."/>
      <w:lvlJc w:val="left"/>
      <w:pPr>
        <w:tabs>
          <w:tab w:val="num" w:pos="0"/>
        </w:tabs>
        <w:ind w:left="6480" w:hanging="1080"/>
      </w:pPr>
      <w:rPr/>
    </w:lvl>
    <w:lvl w:ilvl="6">
      <w:start w:val="1"/>
      <w:numFmt w:val="decimal"/>
      <w:lvlText w:val="%1.%2.%3.%4.%5.%6.%7."/>
      <w:lvlJc w:val="left"/>
      <w:pPr>
        <w:tabs>
          <w:tab w:val="num" w:pos="0"/>
        </w:tabs>
        <w:ind w:left="7920" w:hanging="1440"/>
      </w:pPr>
      <w:rPr/>
    </w:lvl>
    <w:lvl w:ilvl="7">
      <w:start w:val="1"/>
      <w:numFmt w:val="decimal"/>
      <w:lvlText w:val="%1.%2.%3.%4.%5.%6.%7.%8."/>
      <w:lvlJc w:val="left"/>
      <w:pPr>
        <w:tabs>
          <w:tab w:val="num" w:pos="0"/>
        </w:tabs>
        <w:ind w:left="9000" w:hanging="1440"/>
      </w:pPr>
      <w:rPr/>
    </w:lvl>
    <w:lvl w:ilvl="8">
      <w:start w:val="1"/>
      <w:numFmt w:val="decimal"/>
      <w:lvlText w:val="%1.%2.%3.%4.%5.%6.%7.%8.%9."/>
      <w:lvlJc w:val="left"/>
      <w:pPr>
        <w:tabs>
          <w:tab w:val="num" w:pos="0"/>
        </w:tabs>
        <w:ind w:left="10440" w:hanging="180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3"/>
    <w:lvlOverride w:ilvl="0">
      <w:startOverride w:val="1"/>
    </w:lvlOverride>
  </w:num>
  <w:num w:numId="8">
    <w:abstractNumId w:val="3"/>
  </w:num>
  <w:num w:numId="9">
    <w:abstractNumId w:val="3"/>
  </w:num>
  <w:num w:numId="10">
    <w:abstractNumId w:val="4"/>
    <w:lvlOverride w:ilvl="0">
      <w:startOverride w:val="4"/>
    </w:lvlOverride>
  </w:num>
  <w:num w:numId="11">
    <w:abstractNumId w:val="5"/>
    <w:lvlOverride w:ilvl="0">
      <w:startOverride w:val="6"/>
    </w:lvlOverride>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e25"/>
    <w:pPr>
      <w:widowControl/>
      <w:suppressAutoHyphens w:val="true"/>
      <w:bidi w:val="0"/>
      <w:spacing w:before="0" w:after="0"/>
      <w:jc w:val="left"/>
    </w:pPr>
    <w:rPr>
      <w:rFonts w:eastAsia="Times New Roman" w:cs="Times New Roman" w:ascii="Times New Roman" w:hAnsi="Times New Roman"/>
      <w:color w:val="auto"/>
      <w:kern w:val="0"/>
      <w:sz w:val="24"/>
      <w:szCs w:val="20"/>
      <w:lang w:val="lt-LT" w:eastAsia="en-US" w:bidi="ar-SA"/>
      <w14:ligatures w14:val="none"/>
    </w:rPr>
  </w:style>
  <w:style w:type="paragraph" w:styleId="Heading1">
    <w:name w:val="Heading 1"/>
    <w:basedOn w:val="Normal"/>
    <w:next w:val="Normal"/>
    <w:link w:val="Antrat1Diagrama"/>
    <w:uiPriority w:val="9"/>
    <w:qFormat/>
    <w:rsid w:val="006d785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6d785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6d785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Antrat4Diagrama"/>
    <w:uiPriority w:val="9"/>
    <w:semiHidden/>
    <w:unhideWhenUsed/>
    <w:qFormat/>
    <w:rsid w:val="006d785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Antrat5Diagrama"/>
    <w:uiPriority w:val="9"/>
    <w:semiHidden/>
    <w:unhideWhenUsed/>
    <w:qFormat/>
    <w:rsid w:val="006d785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Antrat6Diagrama"/>
    <w:uiPriority w:val="9"/>
    <w:semiHidden/>
    <w:unhideWhenUsed/>
    <w:qFormat/>
    <w:rsid w:val="006d785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Antrat7Diagrama"/>
    <w:uiPriority w:val="9"/>
    <w:semiHidden/>
    <w:unhideWhenUsed/>
    <w:qFormat/>
    <w:rsid w:val="006d785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Antrat8Diagrama"/>
    <w:uiPriority w:val="9"/>
    <w:semiHidden/>
    <w:unhideWhenUsed/>
    <w:qFormat/>
    <w:rsid w:val="006d785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Antrat9Diagrama"/>
    <w:uiPriority w:val="9"/>
    <w:semiHidden/>
    <w:unhideWhenUsed/>
    <w:qFormat/>
    <w:rsid w:val="006d785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6d785e"/>
    <w:rPr>
      <w:rFonts w:ascii="Calibri Light" w:hAnsi="Calibri Light" w:eastAsia="" w:cs="" w:asciiTheme="majorHAnsi" w:cstheme="majorBidi" w:eastAsiaTheme="majorEastAsia" w:hAnsiTheme="majorHAnsi"/>
      <w:color w:themeColor="accent1" w:themeShade="bf" w:val="2F5496"/>
      <w:sz w:val="40"/>
      <w:szCs w:val="40"/>
    </w:rPr>
  </w:style>
  <w:style w:type="character" w:styleId="Antrat2Diagrama" w:customStyle="1">
    <w:name w:val="Antraštė 2 Diagrama"/>
    <w:basedOn w:val="DefaultParagraphFont"/>
    <w:link w:val="Heading2"/>
    <w:uiPriority w:val="9"/>
    <w:semiHidden/>
    <w:qFormat/>
    <w:rsid w:val="006d785e"/>
    <w:rPr>
      <w:rFonts w:ascii="Calibri Light" w:hAnsi="Calibri Light" w:eastAsia="" w:cs="" w:asciiTheme="majorHAnsi" w:cstheme="majorBidi" w:eastAsiaTheme="majorEastAsia" w:hAnsiTheme="majorHAnsi"/>
      <w:color w:themeColor="accent1" w:themeShade="bf" w:val="2F5496"/>
      <w:sz w:val="32"/>
      <w:szCs w:val="32"/>
    </w:rPr>
  </w:style>
  <w:style w:type="character" w:styleId="Antrat3Diagrama" w:customStyle="1">
    <w:name w:val="Antraštė 3 Diagrama"/>
    <w:basedOn w:val="DefaultParagraphFont"/>
    <w:link w:val="Heading3"/>
    <w:uiPriority w:val="9"/>
    <w:semiHidden/>
    <w:qFormat/>
    <w:rsid w:val="006d785e"/>
    <w:rPr>
      <w:rFonts w:ascii="Calibri" w:hAnsi="Calibri" w:eastAsia="" w:cs="" w:asciiTheme="minorHAnsi" w:cstheme="majorBidi" w:eastAsiaTheme="majorEastAsia" w:hAnsiTheme="minorHAnsi"/>
      <w:color w:themeColor="accent1" w:themeShade="bf" w:val="2F5496"/>
      <w:sz w:val="28"/>
      <w:szCs w:val="28"/>
    </w:rPr>
  </w:style>
  <w:style w:type="character" w:styleId="Antrat4Diagrama" w:customStyle="1">
    <w:name w:val="Antraštė 4 Diagrama"/>
    <w:basedOn w:val="DefaultParagraphFont"/>
    <w:link w:val="Heading4"/>
    <w:uiPriority w:val="9"/>
    <w:semiHidden/>
    <w:qFormat/>
    <w:rsid w:val="006d785e"/>
    <w:rPr>
      <w:rFonts w:ascii="Calibri" w:hAnsi="Calibri" w:eastAsia="" w:cs="" w:asciiTheme="minorHAnsi" w:cstheme="majorBidi" w:eastAsiaTheme="majorEastAsia" w:hAnsiTheme="minorHAnsi"/>
      <w:i/>
      <w:iCs/>
      <w:color w:themeColor="accent1" w:themeShade="bf" w:val="2F5496"/>
    </w:rPr>
  </w:style>
  <w:style w:type="character" w:styleId="Antrat5Diagrama" w:customStyle="1">
    <w:name w:val="Antraštė 5 Diagrama"/>
    <w:basedOn w:val="DefaultParagraphFont"/>
    <w:link w:val="Heading5"/>
    <w:uiPriority w:val="9"/>
    <w:semiHidden/>
    <w:qFormat/>
    <w:rsid w:val="006d785e"/>
    <w:rPr>
      <w:rFonts w:ascii="Calibri" w:hAnsi="Calibri" w:eastAsia="" w:cs="" w:asciiTheme="minorHAnsi" w:cstheme="majorBidi" w:eastAsiaTheme="majorEastAsia" w:hAnsiTheme="minorHAnsi"/>
      <w:color w:themeColor="accent1" w:themeShade="bf" w:val="2F5496"/>
    </w:rPr>
  </w:style>
  <w:style w:type="character" w:styleId="Antrat6Diagrama" w:customStyle="1">
    <w:name w:val="Antraštė 6 Diagrama"/>
    <w:basedOn w:val="DefaultParagraphFont"/>
    <w:link w:val="Heading6"/>
    <w:uiPriority w:val="9"/>
    <w:semiHidden/>
    <w:qFormat/>
    <w:rsid w:val="006d785e"/>
    <w:rPr>
      <w:rFonts w:ascii="Calibri" w:hAnsi="Calibri" w:eastAsia="" w:cs="" w:asciiTheme="minorHAnsi" w:cstheme="majorBidi" w:eastAsiaTheme="majorEastAsia" w:hAnsiTheme="minorHAnsi"/>
      <w:i/>
      <w:iCs/>
      <w:color w:themeColor="text1" w:themeTint="a6" w:val="595959"/>
    </w:rPr>
  </w:style>
  <w:style w:type="character" w:styleId="Antrat7Diagrama" w:customStyle="1">
    <w:name w:val="Antraštė 7 Diagrama"/>
    <w:basedOn w:val="DefaultParagraphFont"/>
    <w:link w:val="Heading7"/>
    <w:uiPriority w:val="9"/>
    <w:semiHidden/>
    <w:qFormat/>
    <w:rsid w:val="006d785e"/>
    <w:rPr>
      <w:rFonts w:ascii="Calibri" w:hAnsi="Calibri" w:eastAsia="" w:cs="" w:asciiTheme="minorHAnsi" w:cstheme="majorBidi" w:eastAsiaTheme="majorEastAsia" w:hAnsiTheme="minorHAnsi"/>
      <w:color w:themeColor="text1" w:themeTint="a6" w:val="595959"/>
    </w:rPr>
  </w:style>
  <w:style w:type="character" w:styleId="Antrat8Diagrama" w:customStyle="1">
    <w:name w:val="Antraštė 8 Diagrama"/>
    <w:basedOn w:val="DefaultParagraphFont"/>
    <w:link w:val="Heading8"/>
    <w:uiPriority w:val="9"/>
    <w:semiHidden/>
    <w:qFormat/>
    <w:rsid w:val="006d785e"/>
    <w:rPr>
      <w:rFonts w:ascii="Calibri" w:hAnsi="Calibri" w:eastAsia="" w:cs="" w:asciiTheme="minorHAnsi" w:cstheme="majorBidi" w:eastAsiaTheme="majorEastAsia" w:hAnsiTheme="minorHAnsi"/>
      <w:i/>
      <w:iCs/>
      <w:color w:themeColor="text1" w:themeTint="d8" w:val="272727"/>
    </w:rPr>
  </w:style>
  <w:style w:type="character" w:styleId="Antrat9Diagrama" w:customStyle="1">
    <w:name w:val="Antraštė 9 Diagrama"/>
    <w:basedOn w:val="DefaultParagraphFont"/>
    <w:link w:val="Heading9"/>
    <w:uiPriority w:val="9"/>
    <w:semiHidden/>
    <w:qFormat/>
    <w:rsid w:val="006d785e"/>
    <w:rPr>
      <w:rFonts w:ascii="Calibri" w:hAnsi="Calibri" w:eastAsia="" w:cs="" w:asciiTheme="minorHAnsi" w:cstheme="majorBidi" w:eastAsiaTheme="majorEastAsia" w:hAnsiTheme="minorHAnsi"/>
      <w:color w:themeColor="text1" w:themeTint="d8" w:val="272727"/>
    </w:rPr>
  </w:style>
  <w:style w:type="character" w:styleId="PavadinimasDiagrama" w:customStyle="1">
    <w:name w:val="Pavadinimas Diagrama"/>
    <w:basedOn w:val="DefaultParagraphFont"/>
    <w:link w:val="Title"/>
    <w:uiPriority w:val="10"/>
    <w:qFormat/>
    <w:rsid w:val="006d785e"/>
    <w:rPr>
      <w:rFonts w:ascii="Calibri Light" w:hAnsi="Calibri Light"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link w:val="Subtitle"/>
    <w:uiPriority w:val="11"/>
    <w:qFormat/>
    <w:rsid w:val="006d785e"/>
    <w:rPr>
      <w:rFonts w:ascii="Calibri" w:hAnsi="Calibri" w:eastAsia="" w:cs="" w:asciiTheme="minorHAnsi" w:cstheme="majorBidi" w:eastAsiaTheme="majorEastAsia" w:hAnsiTheme="minorHAnsi"/>
      <w:color w:themeColor="text1" w:themeTint="a6" w:val="595959"/>
      <w:spacing w:val="15"/>
      <w:sz w:val="28"/>
      <w:szCs w:val="28"/>
    </w:rPr>
  </w:style>
  <w:style w:type="character" w:styleId="CitataDiagrama" w:customStyle="1">
    <w:name w:val="Citata Diagrama"/>
    <w:basedOn w:val="DefaultParagraphFont"/>
    <w:link w:val="Quote"/>
    <w:uiPriority w:val="29"/>
    <w:qFormat/>
    <w:rsid w:val="006d785e"/>
    <w:rPr>
      <w:i/>
      <w:iCs/>
      <w:color w:themeColor="text1" w:themeTint="bf" w:val="404040"/>
    </w:rPr>
  </w:style>
  <w:style w:type="character" w:styleId="IntenseEmphasis">
    <w:name w:val="Intense Emphasis"/>
    <w:basedOn w:val="DefaultParagraphFont"/>
    <w:uiPriority w:val="21"/>
    <w:qFormat/>
    <w:rsid w:val="006d785e"/>
    <w:rPr>
      <w:i/>
      <w:iCs/>
      <w:color w:themeColor="accent1" w:themeShade="bf" w:val="2F5496"/>
    </w:rPr>
  </w:style>
  <w:style w:type="character" w:styleId="IskirtacitataDiagrama" w:customStyle="1">
    <w:name w:val="Išskirta citata Diagrama"/>
    <w:basedOn w:val="DefaultParagraphFont"/>
    <w:link w:val="IntenseQuote"/>
    <w:uiPriority w:val="30"/>
    <w:qFormat/>
    <w:rsid w:val="006d785e"/>
    <w:rPr>
      <w:i/>
      <w:iCs/>
      <w:color w:themeColor="accent1" w:themeShade="bf" w:val="2F5496"/>
    </w:rPr>
  </w:style>
  <w:style w:type="character" w:styleId="IntenseReference">
    <w:name w:val="Intense Reference"/>
    <w:basedOn w:val="DefaultParagraphFont"/>
    <w:uiPriority w:val="32"/>
    <w:qFormat/>
    <w:rsid w:val="006d785e"/>
    <w:rPr>
      <w:b/>
      <w:bCs/>
      <w:smallCaps/>
      <w:color w:themeColor="accent1" w:themeShade="bf" w:val="2F5496"/>
      <w:spacing w:val="5"/>
    </w:rPr>
  </w:style>
  <w:style w:type="character" w:styleId="Annotationreference">
    <w:name w:val="annotation reference"/>
    <w:basedOn w:val="DefaultParagraphFont"/>
    <w:uiPriority w:val="99"/>
    <w:semiHidden/>
    <w:unhideWhenUsed/>
    <w:qFormat/>
    <w:rsid w:val="00b97e25"/>
    <w:rPr>
      <w:sz w:val="16"/>
      <w:szCs w:val="16"/>
    </w:rPr>
  </w:style>
  <w:style w:type="character" w:styleId="KomentarotekstasDiagrama" w:customStyle="1">
    <w:name w:val="Komentaro tekstas Diagrama"/>
    <w:basedOn w:val="DefaultParagraphFont"/>
    <w:link w:val="Annotationtext"/>
    <w:uiPriority w:val="99"/>
    <w:qFormat/>
    <w:rsid w:val="00b97e25"/>
    <w:rPr>
      <w:rFonts w:eastAsia="Times New Roman" w:cs="Times New Roman"/>
      <w:kern w:val="0"/>
      <w:sz w:val="20"/>
      <w:szCs w:val="20"/>
      <w14:ligatures w14:val="none"/>
    </w:rPr>
  </w:style>
  <w:style w:type="character" w:styleId="KomentarotemaDiagrama" w:customStyle="1">
    <w:name w:val="Komentaro tema Diagrama"/>
    <w:basedOn w:val="KomentarotekstasDiagrama"/>
    <w:link w:val="Annotationsubject"/>
    <w:uiPriority w:val="99"/>
    <w:semiHidden/>
    <w:qFormat/>
    <w:rsid w:val="00b97e25"/>
    <w:rPr>
      <w:rFonts w:eastAsia="Times New Roman" w:cs="Times New Roman"/>
      <w:b/>
      <w:bCs/>
      <w:kern w:val="0"/>
      <w:sz w:val="20"/>
      <w:szCs w:val="20"/>
      <w14:ligatures w14:val="none"/>
    </w:rPr>
  </w:style>
  <w:style w:type="character" w:styleId="Hyperlink">
    <w:name w:val="Hyperlink"/>
    <w:rPr>
      <w:color w:val="000080"/>
      <w:u w:val="single"/>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PavadinimasDiagrama"/>
    <w:uiPriority w:val="10"/>
    <w:qFormat/>
    <w:rsid w:val="006d785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6d785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CitataDiagrama"/>
    <w:uiPriority w:val="29"/>
    <w:qFormat/>
    <w:rsid w:val="006d785e"/>
    <w:pPr>
      <w:spacing w:before="160" w:after="160"/>
      <w:jc w:val="center"/>
    </w:pPr>
    <w:rPr>
      <w:i/>
      <w:iCs/>
      <w:color w:themeColor="text1" w:themeTint="bf" w:val="404040"/>
    </w:rPr>
  </w:style>
  <w:style w:type="paragraph" w:styleId="ListParagraph">
    <w:name w:val="List Paragraph"/>
    <w:basedOn w:val="Normal"/>
    <w:uiPriority w:val="34"/>
    <w:qFormat/>
    <w:rsid w:val="006d785e"/>
    <w:pPr>
      <w:spacing w:before="0" w:after="0"/>
      <w:ind w:left="720"/>
      <w:contextualSpacing/>
    </w:pPr>
    <w:rPr/>
  </w:style>
  <w:style w:type="paragraph" w:styleId="IntenseQuote">
    <w:name w:val="Intense Quote"/>
    <w:basedOn w:val="Normal"/>
    <w:next w:val="Normal"/>
    <w:link w:val="IskirtacitataDiagrama"/>
    <w:uiPriority w:val="30"/>
    <w:qFormat/>
    <w:rsid w:val="006d785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Standard" w:customStyle="1">
    <w:name w:val="Standard"/>
    <w:qFormat/>
    <w:rsid w:val="00b97e25"/>
    <w:pPr>
      <w:widowControl/>
      <w:suppressAutoHyphens w:val="true"/>
      <w:bidi w:val="0"/>
      <w:spacing w:before="0" w:after="0"/>
      <w:jc w:val="left"/>
      <w:textAlignment w:val="baseline"/>
    </w:pPr>
    <w:rPr>
      <w:rFonts w:eastAsia="Calibri" w:cs="F1" w:ascii="Times New Roman" w:hAnsi="Times New Roman"/>
      <w:color w:val="auto"/>
      <w:kern w:val="2"/>
      <w:sz w:val="24"/>
      <w:szCs w:val="22"/>
      <w:lang w:val="lt-LT" w:eastAsia="en-US" w:bidi="ar-SA"/>
      <w14:ligatures w14:val="none"/>
    </w:rPr>
  </w:style>
  <w:style w:type="paragraph" w:styleId="Annotationtext">
    <w:name w:val="annotation text"/>
    <w:basedOn w:val="Normal"/>
    <w:link w:val="KomentarotekstasDiagrama"/>
    <w:uiPriority w:val="99"/>
    <w:unhideWhenUsed/>
    <w:qFormat/>
    <w:rsid w:val="00b97e25"/>
    <w:pPr/>
    <w:rPr>
      <w:sz w:val="20"/>
    </w:rPr>
  </w:style>
  <w:style w:type="paragraph" w:styleId="Annotationsubject">
    <w:name w:val="annotation subject"/>
    <w:basedOn w:val="Annotationtext"/>
    <w:next w:val="Annotationtext"/>
    <w:link w:val="KomentarotemaDiagrama"/>
    <w:uiPriority w:val="99"/>
    <w:semiHidden/>
    <w:unhideWhenUsed/>
    <w:qFormat/>
    <w:rsid w:val="00b97e2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67</TotalTime>
  <Application>LibreOffice/7.6.4.1$Windows_X86_64 LibreOffice_project/e19e193f88cd6c0525a17fb7a176ed8e6a3e2aa1</Application>
  <AppVersion>15.0000</AppVersion>
  <Pages>3</Pages>
  <Words>1611</Words>
  <Characters>11782</Characters>
  <CharactersWithSpaces>13374</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2026-03-06T09:13:00Z</dcterms:created>
  <dc:creator>Jūratė Šilgalytė</dc:creator>
  <dc:description/>
  <dc:language>en-US</dc:language>
  <cp:lastModifiedBy>Jūratė Šilgalytė</cp:lastModifiedBy>
  <dcterms:modified xsi:type="dcterms:W3CDTF">2026-05-06T09:25:00Z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